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3E467D"/>
    <w:p w:rsidR="00763A3D" w:rsidRDefault="00763A3D" w:rsidP="00763A3D"/>
    <w:p w:rsidR="00763A3D" w:rsidRDefault="00763A3D" w:rsidP="00763A3D">
      <w:pPr>
        <w:jc w:val="both"/>
        <w:rPr>
          <w:b/>
        </w:rPr>
      </w:pPr>
      <w:r>
        <w:rPr>
          <w:b/>
        </w:rPr>
        <w:t>COMPTE RENDU REUNION DU CONSEIL MUNICIPAL DU 27 NOVEMBRE 2019</w:t>
      </w:r>
    </w:p>
    <w:p w:rsidR="00763A3D" w:rsidRDefault="00763A3D" w:rsidP="00763A3D">
      <w:pPr>
        <w:jc w:val="both"/>
        <w:rPr>
          <w:szCs w:val="20"/>
        </w:rPr>
      </w:pPr>
    </w:p>
    <w:p w:rsidR="00763A3D" w:rsidRDefault="00763A3D" w:rsidP="00763A3D">
      <w:pPr>
        <w:jc w:val="both"/>
        <w:rPr>
          <w:szCs w:val="20"/>
        </w:rPr>
      </w:pPr>
      <w:r>
        <w:rPr>
          <w:szCs w:val="20"/>
        </w:rPr>
        <w:t>L’an deux mille dix-neuf  le Vingt-sept Novembre à vingt heures, le Conseil Municipal de la Commune de Saint Symphorien Sous Chomérac s’est réuni, sous la présidence de Madame PALIX Dominique, Maire.</w:t>
      </w:r>
    </w:p>
    <w:p w:rsidR="00763A3D" w:rsidRDefault="00763A3D" w:rsidP="00763A3D">
      <w:pPr>
        <w:jc w:val="both"/>
        <w:rPr>
          <w:szCs w:val="20"/>
        </w:rPr>
      </w:pPr>
    </w:p>
    <w:p w:rsidR="00763A3D" w:rsidRDefault="00763A3D" w:rsidP="00763A3D">
      <w:pPr>
        <w:jc w:val="both"/>
      </w:pPr>
      <w:r>
        <w:rPr>
          <w:b/>
        </w:rPr>
        <w:t>PRESENTS</w:t>
      </w:r>
      <w:r>
        <w:t xml:space="preserve"> : Mmes BOUCHET Bernadette – MENIAUD Aline - PALIX Dominique – PLATZ Cécile - TAVERNIER Delphine  – Mrs DAGORN Jean-Luc - FEROUSSIER Jean-Michel – PETERMANN Frédéric - VIGNAL Dominique</w:t>
      </w:r>
    </w:p>
    <w:p w:rsidR="00763A3D" w:rsidRDefault="00763A3D" w:rsidP="00763A3D">
      <w:pPr>
        <w:jc w:val="both"/>
      </w:pPr>
    </w:p>
    <w:p w:rsidR="00763A3D" w:rsidRDefault="00763A3D" w:rsidP="00763A3D">
      <w:pPr>
        <w:jc w:val="both"/>
      </w:pPr>
      <w:r>
        <w:rPr>
          <w:b/>
        </w:rPr>
        <w:t>ABSENTS EXCUSES</w:t>
      </w:r>
      <w:r>
        <w:t xml:space="preserve"> : Mmes BROET Sarah - PALAORO Andréa – Mrs BASTIDE Alain  – MAURY Frédéric  </w:t>
      </w:r>
    </w:p>
    <w:p w:rsidR="00763A3D" w:rsidRDefault="00763A3D" w:rsidP="00763A3D">
      <w:pPr>
        <w:jc w:val="both"/>
      </w:pPr>
    </w:p>
    <w:p w:rsidR="00763A3D" w:rsidRDefault="00763A3D" w:rsidP="00763A3D">
      <w:pPr>
        <w:jc w:val="both"/>
      </w:pPr>
      <w:r>
        <w:rPr>
          <w:b/>
          <w:bCs/>
        </w:rPr>
        <w:t>SECRETAIRE DE SEANCE</w:t>
      </w:r>
      <w:r>
        <w:t> : Mme TAVERNIER Delphine</w:t>
      </w:r>
    </w:p>
    <w:p w:rsidR="00763A3D" w:rsidRDefault="00763A3D" w:rsidP="00763A3D">
      <w:pPr>
        <w:ind w:firstLine="708"/>
        <w:jc w:val="both"/>
      </w:pPr>
      <w:r>
        <w:t xml:space="preserve"> </w:t>
      </w:r>
    </w:p>
    <w:p w:rsidR="00763A3D" w:rsidRDefault="00763A3D" w:rsidP="00763A3D">
      <w:pPr>
        <w:ind w:firstLine="708"/>
        <w:jc w:val="both"/>
      </w:pPr>
      <w:r>
        <w:rPr>
          <w:b/>
        </w:rPr>
        <w:t>ORDRE DU JOUR</w:t>
      </w:r>
      <w:r>
        <w:t xml:space="preserve"> : </w:t>
      </w:r>
    </w:p>
    <w:p w:rsidR="00763A3D" w:rsidRPr="00764E2A" w:rsidRDefault="00763A3D" w:rsidP="00763A3D">
      <w:pPr>
        <w:jc w:val="both"/>
      </w:pPr>
      <w:r>
        <w:t xml:space="preserve">             </w:t>
      </w:r>
    </w:p>
    <w:p w:rsidR="00763A3D" w:rsidRDefault="00763A3D" w:rsidP="00763A3D">
      <w:pPr>
        <w:numPr>
          <w:ilvl w:val="0"/>
          <w:numId w:val="1"/>
        </w:numPr>
        <w:jc w:val="both"/>
      </w:pPr>
      <w:r>
        <w:t>Décision modificative N°3 - Commune</w:t>
      </w:r>
    </w:p>
    <w:p w:rsidR="00763A3D" w:rsidRDefault="00763A3D" w:rsidP="00763A3D">
      <w:pPr>
        <w:numPr>
          <w:ilvl w:val="0"/>
          <w:numId w:val="1"/>
        </w:numPr>
        <w:jc w:val="both"/>
      </w:pPr>
      <w:r>
        <w:t xml:space="preserve">Attribution de compensation Ardèche Rhône </w:t>
      </w:r>
      <w:proofErr w:type="spellStart"/>
      <w:r>
        <w:t>Coiron</w:t>
      </w:r>
      <w:proofErr w:type="spellEnd"/>
    </w:p>
    <w:p w:rsidR="00763A3D" w:rsidRDefault="00763A3D" w:rsidP="00763A3D">
      <w:pPr>
        <w:numPr>
          <w:ilvl w:val="0"/>
          <w:numId w:val="1"/>
        </w:numPr>
        <w:jc w:val="both"/>
      </w:pPr>
      <w:r>
        <w:t>Subvention exceptionnelle commune Le Teil suite à séisme</w:t>
      </w:r>
    </w:p>
    <w:p w:rsidR="00763A3D" w:rsidRDefault="00763A3D" w:rsidP="00763A3D">
      <w:pPr>
        <w:numPr>
          <w:ilvl w:val="0"/>
          <w:numId w:val="1"/>
        </w:numPr>
        <w:jc w:val="both"/>
      </w:pPr>
      <w:r>
        <w:t>Attribution subventions communales</w:t>
      </w:r>
    </w:p>
    <w:p w:rsidR="00763A3D" w:rsidRDefault="00763A3D" w:rsidP="00763A3D">
      <w:pPr>
        <w:numPr>
          <w:ilvl w:val="0"/>
          <w:numId w:val="1"/>
        </w:numPr>
        <w:jc w:val="both"/>
      </w:pPr>
      <w:r>
        <w:t>Questions diverses.</w:t>
      </w:r>
    </w:p>
    <w:p w:rsidR="00763A3D" w:rsidRDefault="00763A3D">
      <w:pPr>
        <w:pBdr>
          <w:bottom w:val="single" w:sz="6" w:space="1" w:color="auto"/>
        </w:pBdr>
      </w:pPr>
    </w:p>
    <w:p w:rsidR="00763A3D" w:rsidRDefault="00763A3D"/>
    <w:p w:rsidR="00763A3D" w:rsidRDefault="00763A3D">
      <w:r>
        <w:t>En ouverture de séance le compte rendu de la dernière réunion est approuvé et Madame le Maire demande l’autorisation de rajouter deux délibérations l’une concernant une demande d’aide de l’Etat suite au séisme, l’autre pour engager et liquider les dépenses d’investissement avant le vote du budget 2020. Le Conseil Municipal donne son accord.</w:t>
      </w:r>
    </w:p>
    <w:p w:rsidR="00763A3D" w:rsidRDefault="00763A3D"/>
    <w:p w:rsidR="00735C6C" w:rsidRDefault="00763A3D" w:rsidP="00735C6C">
      <w:pPr>
        <w:spacing w:line="287" w:lineRule="exact"/>
        <w:rPr>
          <w:b/>
          <w:bCs/>
        </w:rPr>
      </w:pPr>
      <w:r>
        <w:tab/>
      </w:r>
      <w:r w:rsidRPr="00B874E3">
        <w:rPr>
          <w:b/>
          <w:u w:val="single"/>
        </w:rPr>
        <w:t>Décision Modificative N° 3 Commune</w:t>
      </w:r>
      <w:r>
        <w:t xml:space="preserve"> : </w:t>
      </w:r>
      <w:r w:rsidR="00735C6C">
        <w:t>Il y a lieu de modifier les crédits ainsi :</w:t>
      </w:r>
    </w:p>
    <w:p w:rsidR="00735C6C" w:rsidRDefault="00735C6C" w:rsidP="00735C6C">
      <w:pPr>
        <w:spacing w:line="287" w:lineRule="exact"/>
        <w:jc w:val="both"/>
        <w:rPr>
          <w:bCs/>
        </w:rPr>
      </w:pPr>
      <w:r>
        <w:rPr>
          <w:bCs/>
        </w:rPr>
        <w:tab/>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410"/>
        <w:gridCol w:w="2693"/>
      </w:tblGrid>
      <w:tr w:rsidR="00735C6C" w:rsidRPr="00A20956" w:rsidTr="002D0312">
        <w:tc>
          <w:tcPr>
            <w:tcW w:w="5387" w:type="dxa"/>
            <w:shd w:val="clear" w:color="auto" w:fill="auto"/>
          </w:tcPr>
          <w:p w:rsidR="00735C6C" w:rsidRPr="00A20956" w:rsidRDefault="00735C6C" w:rsidP="002D0312">
            <w:pPr>
              <w:spacing w:line="287" w:lineRule="exact"/>
              <w:jc w:val="center"/>
              <w:rPr>
                <w:rFonts w:ascii="Calibri" w:eastAsia="Calibri" w:hAnsi="Calibri"/>
                <w:b/>
                <w:bCs/>
                <w:sz w:val="22"/>
                <w:szCs w:val="22"/>
              </w:rPr>
            </w:pPr>
            <w:r>
              <w:rPr>
                <w:rFonts w:ascii="Calibri" w:eastAsia="Calibri" w:hAnsi="Calibri"/>
                <w:b/>
                <w:bCs/>
                <w:sz w:val="22"/>
                <w:szCs w:val="22"/>
              </w:rPr>
              <w:t>D</w:t>
            </w:r>
            <w:r w:rsidRPr="00A20956">
              <w:rPr>
                <w:rFonts w:ascii="Calibri" w:eastAsia="Calibri" w:hAnsi="Calibri"/>
                <w:b/>
                <w:bCs/>
                <w:sz w:val="22"/>
                <w:szCs w:val="22"/>
              </w:rPr>
              <w:t>ésignation</w:t>
            </w:r>
          </w:p>
        </w:tc>
        <w:tc>
          <w:tcPr>
            <w:tcW w:w="2410" w:type="dxa"/>
            <w:shd w:val="clear" w:color="auto" w:fill="auto"/>
          </w:tcPr>
          <w:p w:rsidR="00735C6C" w:rsidRPr="00A20956" w:rsidRDefault="00735C6C" w:rsidP="002D0312">
            <w:pPr>
              <w:spacing w:line="287" w:lineRule="exact"/>
              <w:jc w:val="center"/>
              <w:rPr>
                <w:rFonts w:ascii="Calibri" w:eastAsia="Calibri" w:hAnsi="Calibri"/>
                <w:b/>
                <w:bCs/>
                <w:sz w:val="22"/>
                <w:szCs w:val="22"/>
              </w:rPr>
            </w:pPr>
            <w:r w:rsidRPr="00A20956">
              <w:rPr>
                <w:rFonts w:ascii="Calibri" w:eastAsia="Calibri" w:hAnsi="Calibri"/>
                <w:b/>
                <w:bCs/>
                <w:sz w:val="22"/>
                <w:szCs w:val="22"/>
              </w:rPr>
              <w:t>Diminution sur crédits ouverts</w:t>
            </w:r>
          </w:p>
        </w:tc>
        <w:tc>
          <w:tcPr>
            <w:tcW w:w="2693" w:type="dxa"/>
            <w:shd w:val="clear" w:color="auto" w:fill="auto"/>
          </w:tcPr>
          <w:p w:rsidR="00735C6C" w:rsidRPr="00A20956" w:rsidRDefault="00735C6C" w:rsidP="002D0312">
            <w:pPr>
              <w:spacing w:line="287" w:lineRule="exact"/>
              <w:jc w:val="center"/>
              <w:rPr>
                <w:rFonts w:ascii="Calibri" w:eastAsia="Calibri" w:hAnsi="Calibri"/>
                <w:b/>
                <w:bCs/>
                <w:sz w:val="22"/>
                <w:szCs w:val="22"/>
              </w:rPr>
            </w:pPr>
            <w:r w:rsidRPr="00A20956">
              <w:rPr>
                <w:rFonts w:ascii="Calibri" w:eastAsia="Calibri" w:hAnsi="Calibri"/>
                <w:b/>
                <w:bCs/>
                <w:sz w:val="22"/>
                <w:szCs w:val="22"/>
              </w:rPr>
              <w:t>Augmentation sur crédits ouverts</w:t>
            </w:r>
          </w:p>
        </w:tc>
      </w:tr>
      <w:tr w:rsidR="00735C6C" w:rsidRPr="00A20956" w:rsidTr="002D0312">
        <w:tc>
          <w:tcPr>
            <w:tcW w:w="5387" w:type="dxa"/>
            <w:shd w:val="clear" w:color="auto" w:fill="auto"/>
          </w:tcPr>
          <w:p w:rsidR="00735C6C" w:rsidRPr="00A20956" w:rsidRDefault="00735C6C" w:rsidP="002D0312">
            <w:pPr>
              <w:spacing w:line="287" w:lineRule="exact"/>
              <w:rPr>
                <w:rFonts w:ascii="Calibri" w:eastAsia="Calibri" w:hAnsi="Calibri"/>
                <w:bCs/>
                <w:sz w:val="22"/>
                <w:szCs w:val="22"/>
              </w:rPr>
            </w:pPr>
            <w:r>
              <w:rPr>
                <w:rFonts w:ascii="Calibri" w:eastAsia="Calibri" w:hAnsi="Calibri"/>
                <w:bCs/>
                <w:sz w:val="22"/>
                <w:szCs w:val="22"/>
              </w:rPr>
              <w:t>D 739223 : FPIC Fonds national de péréquation</w:t>
            </w:r>
          </w:p>
        </w:tc>
        <w:tc>
          <w:tcPr>
            <w:tcW w:w="2410" w:type="dxa"/>
            <w:shd w:val="clear" w:color="auto" w:fill="auto"/>
          </w:tcPr>
          <w:p w:rsidR="00735C6C" w:rsidRPr="00A20956" w:rsidRDefault="00735C6C" w:rsidP="002D0312">
            <w:pPr>
              <w:spacing w:line="287" w:lineRule="exact"/>
              <w:jc w:val="center"/>
              <w:rPr>
                <w:rFonts w:ascii="Calibri" w:eastAsia="Calibri" w:hAnsi="Calibri"/>
                <w:bCs/>
                <w:sz w:val="22"/>
                <w:szCs w:val="22"/>
              </w:rPr>
            </w:pPr>
          </w:p>
        </w:tc>
        <w:tc>
          <w:tcPr>
            <w:tcW w:w="2693" w:type="dxa"/>
            <w:shd w:val="clear" w:color="auto" w:fill="auto"/>
          </w:tcPr>
          <w:p w:rsidR="00735C6C" w:rsidRPr="00A20956" w:rsidRDefault="00735C6C" w:rsidP="002D0312">
            <w:pPr>
              <w:spacing w:line="287" w:lineRule="exact"/>
              <w:jc w:val="right"/>
              <w:rPr>
                <w:rFonts w:ascii="Calibri" w:eastAsia="Calibri" w:hAnsi="Calibri"/>
                <w:bCs/>
                <w:sz w:val="22"/>
                <w:szCs w:val="22"/>
              </w:rPr>
            </w:pPr>
            <w:r>
              <w:rPr>
                <w:rFonts w:ascii="Calibri" w:eastAsia="Calibri" w:hAnsi="Calibri"/>
                <w:bCs/>
                <w:sz w:val="22"/>
                <w:szCs w:val="22"/>
              </w:rPr>
              <w:t>100,00 €</w:t>
            </w:r>
          </w:p>
        </w:tc>
      </w:tr>
      <w:tr w:rsidR="00735C6C" w:rsidRPr="00A20956" w:rsidTr="002D0312">
        <w:tc>
          <w:tcPr>
            <w:tcW w:w="5387" w:type="dxa"/>
            <w:shd w:val="clear" w:color="auto" w:fill="auto"/>
          </w:tcPr>
          <w:p w:rsidR="00735C6C" w:rsidRPr="007F3AD3" w:rsidRDefault="00735C6C" w:rsidP="002D0312">
            <w:pPr>
              <w:spacing w:line="287" w:lineRule="exact"/>
              <w:rPr>
                <w:rFonts w:ascii="Calibri" w:eastAsia="Calibri" w:hAnsi="Calibri"/>
                <w:b/>
                <w:bCs/>
                <w:sz w:val="22"/>
                <w:szCs w:val="22"/>
              </w:rPr>
            </w:pPr>
            <w:r>
              <w:rPr>
                <w:rFonts w:ascii="Calibri" w:eastAsia="Calibri" w:hAnsi="Calibri"/>
                <w:b/>
                <w:bCs/>
                <w:sz w:val="22"/>
                <w:szCs w:val="22"/>
              </w:rPr>
              <w:t>TOTAL D 014 : Atténuations de produits</w:t>
            </w:r>
          </w:p>
        </w:tc>
        <w:tc>
          <w:tcPr>
            <w:tcW w:w="2410" w:type="dxa"/>
            <w:shd w:val="clear" w:color="auto" w:fill="auto"/>
          </w:tcPr>
          <w:p w:rsidR="00735C6C" w:rsidRPr="00B177F3" w:rsidRDefault="00735C6C" w:rsidP="002D0312">
            <w:pPr>
              <w:spacing w:line="287" w:lineRule="exact"/>
              <w:jc w:val="right"/>
              <w:rPr>
                <w:rFonts w:ascii="Calibri" w:eastAsia="Calibri" w:hAnsi="Calibri"/>
                <w:b/>
                <w:bCs/>
                <w:sz w:val="22"/>
                <w:szCs w:val="22"/>
              </w:rPr>
            </w:pPr>
          </w:p>
        </w:tc>
        <w:tc>
          <w:tcPr>
            <w:tcW w:w="2693" w:type="dxa"/>
            <w:shd w:val="clear" w:color="auto" w:fill="auto"/>
          </w:tcPr>
          <w:p w:rsidR="00735C6C" w:rsidRPr="007F3AD3" w:rsidRDefault="00735C6C" w:rsidP="002D0312">
            <w:pPr>
              <w:spacing w:line="287" w:lineRule="exact"/>
              <w:jc w:val="right"/>
              <w:rPr>
                <w:rFonts w:ascii="Calibri" w:eastAsia="Calibri" w:hAnsi="Calibri"/>
                <w:b/>
                <w:bCs/>
                <w:sz w:val="22"/>
                <w:szCs w:val="22"/>
              </w:rPr>
            </w:pPr>
            <w:r>
              <w:rPr>
                <w:rFonts w:ascii="Calibri" w:eastAsia="Calibri" w:hAnsi="Calibri"/>
                <w:b/>
                <w:bCs/>
                <w:sz w:val="22"/>
                <w:szCs w:val="22"/>
              </w:rPr>
              <w:t>100,00 €</w:t>
            </w:r>
          </w:p>
        </w:tc>
      </w:tr>
      <w:tr w:rsidR="00735C6C" w:rsidRPr="00A20956" w:rsidTr="002D0312">
        <w:tc>
          <w:tcPr>
            <w:tcW w:w="5387" w:type="dxa"/>
            <w:shd w:val="clear" w:color="auto" w:fill="auto"/>
          </w:tcPr>
          <w:p w:rsidR="00735C6C" w:rsidRPr="00F53F14" w:rsidRDefault="00735C6C" w:rsidP="002D0312">
            <w:pPr>
              <w:spacing w:line="287" w:lineRule="exact"/>
              <w:rPr>
                <w:rFonts w:ascii="Calibri" w:eastAsia="Calibri" w:hAnsi="Calibri"/>
                <w:bCs/>
                <w:sz w:val="22"/>
                <w:szCs w:val="22"/>
              </w:rPr>
            </w:pPr>
            <w:r w:rsidRPr="00F53F14">
              <w:rPr>
                <w:rFonts w:ascii="Calibri" w:eastAsia="Calibri" w:hAnsi="Calibri"/>
                <w:bCs/>
                <w:sz w:val="22"/>
                <w:szCs w:val="22"/>
              </w:rPr>
              <w:t>D</w:t>
            </w:r>
            <w:r>
              <w:rPr>
                <w:rFonts w:ascii="Calibri" w:eastAsia="Calibri" w:hAnsi="Calibri"/>
                <w:bCs/>
                <w:sz w:val="22"/>
                <w:szCs w:val="22"/>
              </w:rPr>
              <w:t xml:space="preserve"> </w:t>
            </w:r>
            <w:r w:rsidRPr="00F53F14">
              <w:rPr>
                <w:rFonts w:ascii="Calibri" w:eastAsia="Calibri" w:hAnsi="Calibri"/>
                <w:bCs/>
                <w:sz w:val="22"/>
                <w:szCs w:val="22"/>
              </w:rPr>
              <w:t xml:space="preserve">6535 : </w:t>
            </w:r>
            <w:r>
              <w:rPr>
                <w:rFonts w:ascii="Calibri" w:eastAsia="Calibri" w:hAnsi="Calibri"/>
                <w:bCs/>
                <w:sz w:val="22"/>
                <w:szCs w:val="22"/>
              </w:rPr>
              <w:t>Formations élus</w:t>
            </w:r>
          </w:p>
        </w:tc>
        <w:tc>
          <w:tcPr>
            <w:tcW w:w="2410" w:type="dxa"/>
            <w:shd w:val="clear" w:color="auto" w:fill="auto"/>
          </w:tcPr>
          <w:p w:rsidR="00735C6C" w:rsidRPr="00F53F14" w:rsidRDefault="00735C6C" w:rsidP="002D0312">
            <w:pPr>
              <w:spacing w:line="287" w:lineRule="exact"/>
              <w:jc w:val="right"/>
              <w:rPr>
                <w:rFonts w:ascii="Calibri" w:eastAsia="Calibri" w:hAnsi="Calibri"/>
                <w:bCs/>
                <w:sz w:val="22"/>
                <w:szCs w:val="22"/>
              </w:rPr>
            </w:pPr>
            <w:r w:rsidRPr="00F53F14">
              <w:rPr>
                <w:rFonts w:ascii="Calibri" w:eastAsia="Calibri" w:hAnsi="Calibri"/>
                <w:bCs/>
                <w:sz w:val="22"/>
                <w:szCs w:val="22"/>
              </w:rPr>
              <w:t>200,00 €</w:t>
            </w:r>
          </w:p>
        </w:tc>
        <w:tc>
          <w:tcPr>
            <w:tcW w:w="2693" w:type="dxa"/>
            <w:shd w:val="clear" w:color="auto" w:fill="auto"/>
          </w:tcPr>
          <w:p w:rsidR="00735C6C" w:rsidRDefault="00735C6C" w:rsidP="002D0312">
            <w:pPr>
              <w:spacing w:line="287" w:lineRule="exact"/>
              <w:jc w:val="right"/>
              <w:rPr>
                <w:rFonts w:ascii="Calibri" w:eastAsia="Calibri" w:hAnsi="Calibri"/>
                <w:b/>
                <w:bCs/>
                <w:sz w:val="22"/>
                <w:szCs w:val="22"/>
              </w:rPr>
            </w:pPr>
          </w:p>
        </w:tc>
      </w:tr>
      <w:tr w:rsidR="00735C6C" w:rsidRPr="00A20956" w:rsidTr="002D0312">
        <w:tc>
          <w:tcPr>
            <w:tcW w:w="5387" w:type="dxa"/>
            <w:shd w:val="clear" w:color="auto" w:fill="auto"/>
          </w:tcPr>
          <w:p w:rsidR="00735C6C" w:rsidRPr="00F53F14" w:rsidRDefault="00735C6C" w:rsidP="002D0312">
            <w:pPr>
              <w:spacing w:line="287" w:lineRule="exact"/>
              <w:rPr>
                <w:rFonts w:ascii="Calibri" w:eastAsia="Calibri" w:hAnsi="Calibri"/>
                <w:bCs/>
                <w:sz w:val="22"/>
                <w:szCs w:val="22"/>
              </w:rPr>
            </w:pPr>
            <w:r>
              <w:rPr>
                <w:rFonts w:ascii="Calibri" w:eastAsia="Calibri" w:hAnsi="Calibri"/>
                <w:bCs/>
                <w:sz w:val="22"/>
                <w:szCs w:val="22"/>
              </w:rPr>
              <w:t xml:space="preserve">D 6574 : </w:t>
            </w:r>
            <w:proofErr w:type="spellStart"/>
            <w:r>
              <w:rPr>
                <w:rFonts w:ascii="Calibri" w:eastAsia="Calibri" w:hAnsi="Calibri"/>
                <w:bCs/>
                <w:sz w:val="22"/>
                <w:szCs w:val="22"/>
              </w:rPr>
              <w:t>Subv</w:t>
            </w:r>
            <w:proofErr w:type="spellEnd"/>
            <w:r>
              <w:rPr>
                <w:rFonts w:ascii="Calibri" w:eastAsia="Calibri" w:hAnsi="Calibri"/>
                <w:bCs/>
                <w:sz w:val="22"/>
                <w:szCs w:val="22"/>
              </w:rPr>
              <w:t xml:space="preserve">. </w:t>
            </w:r>
            <w:proofErr w:type="spellStart"/>
            <w:r>
              <w:rPr>
                <w:rFonts w:ascii="Calibri" w:eastAsia="Calibri" w:hAnsi="Calibri"/>
                <w:bCs/>
                <w:sz w:val="22"/>
                <w:szCs w:val="22"/>
              </w:rPr>
              <w:t>fonct</w:t>
            </w:r>
            <w:proofErr w:type="spellEnd"/>
            <w:r>
              <w:rPr>
                <w:rFonts w:ascii="Calibri" w:eastAsia="Calibri" w:hAnsi="Calibri"/>
                <w:bCs/>
                <w:sz w:val="22"/>
                <w:szCs w:val="22"/>
              </w:rPr>
              <w:t xml:space="preserve">. </w:t>
            </w:r>
            <w:proofErr w:type="spellStart"/>
            <w:r>
              <w:rPr>
                <w:rFonts w:ascii="Calibri" w:eastAsia="Calibri" w:hAnsi="Calibri"/>
                <w:bCs/>
                <w:sz w:val="22"/>
                <w:szCs w:val="22"/>
              </w:rPr>
              <w:t>person</w:t>
            </w:r>
            <w:proofErr w:type="spellEnd"/>
            <w:r>
              <w:rPr>
                <w:rFonts w:ascii="Calibri" w:eastAsia="Calibri" w:hAnsi="Calibri"/>
                <w:bCs/>
                <w:sz w:val="22"/>
                <w:szCs w:val="22"/>
              </w:rPr>
              <w:t>. d</w:t>
            </w:r>
            <w:r w:rsidRPr="00F53F14">
              <w:rPr>
                <w:rFonts w:ascii="Calibri" w:eastAsia="Calibri" w:hAnsi="Calibri"/>
                <w:bCs/>
                <w:sz w:val="22"/>
                <w:szCs w:val="22"/>
              </w:rPr>
              <w:t>roit privé</w:t>
            </w:r>
          </w:p>
        </w:tc>
        <w:tc>
          <w:tcPr>
            <w:tcW w:w="2410" w:type="dxa"/>
            <w:shd w:val="clear" w:color="auto" w:fill="auto"/>
          </w:tcPr>
          <w:p w:rsidR="00735C6C" w:rsidRPr="00F53F14" w:rsidRDefault="00735C6C" w:rsidP="002D0312">
            <w:pPr>
              <w:spacing w:line="287" w:lineRule="exact"/>
              <w:jc w:val="right"/>
              <w:rPr>
                <w:rFonts w:ascii="Calibri" w:eastAsia="Calibri" w:hAnsi="Calibri"/>
                <w:bCs/>
                <w:sz w:val="22"/>
                <w:szCs w:val="22"/>
              </w:rPr>
            </w:pPr>
            <w:r w:rsidRPr="00F53F14">
              <w:rPr>
                <w:rFonts w:ascii="Calibri" w:eastAsia="Calibri" w:hAnsi="Calibri"/>
                <w:bCs/>
                <w:sz w:val="22"/>
                <w:szCs w:val="22"/>
              </w:rPr>
              <w:t>1 300,00 €</w:t>
            </w:r>
          </w:p>
        </w:tc>
        <w:tc>
          <w:tcPr>
            <w:tcW w:w="2693" w:type="dxa"/>
            <w:shd w:val="clear" w:color="auto" w:fill="auto"/>
          </w:tcPr>
          <w:p w:rsidR="00735C6C" w:rsidRPr="00F53F14" w:rsidRDefault="00735C6C" w:rsidP="002D0312">
            <w:pPr>
              <w:spacing w:line="287" w:lineRule="exact"/>
              <w:jc w:val="right"/>
              <w:rPr>
                <w:rFonts w:ascii="Calibri" w:eastAsia="Calibri" w:hAnsi="Calibri"/>
                <w:bCs/>
                <w:sz w:val="22"/>
                <w:szCs w:val="22"/>
              </w:rPr>
            </w:pPr>
          </w:p>
        </w:tc>
      </w:tr>
      <w:tr w:rsidR="00735C6C" w:rsidRPr="00A20956" w:rsidTr="002D0312">
        <w:tc>
          <w:tcPr>
            <w:tcW w:w="5387" w:type="dxa"/>
            <w:shd w:val="clear" w:color="auto" w:fill="auto"/>
          </w:tcPr>
          <w:p w:rsidR="00735C6C" w:rsidRDefault="00735C6C" w:rsidP="002D0312">
            <w:pPr>
              <w:spacing w:line="287" w:lineRule="exact"/>
              <w:rPr>
                <w:rFonts w:ascii="Calibri" w:eastAsia="Calibri" w:hAnsi="Calibri"/>
                <w:b/>
                <w:bCs/>
                <w:sz w:val="22"/>
                <w:szCs w:val="22"/>
              </w:rPr>
            </w:pPr>
            <w:r>
              <w:rPr>
                <w:rFonts w:ascii="Calibri" w:eastAsia="Calibri" w:hAnsi="Calibri"/>
                <w:b/>
                <w:bCs/>
                <w:sz w:val="22"/>
                <w:szCs w:val="22"/>
              </w:rPr>
              <w:t>TOTAL D 65 : Autres charges gestion courante</w:t>
            </w:r>
          </w:p>
        </w:tc>
        <w:tc>
          <w:tcPr>
            <w:tcW w:w="2410" w:type="dxa"/>
            <w:shd w:val="clear" w:color="auto" w:fill="auto"/>
          </w:tcPr>
          <w:p w:rsidR="00735C6C" w:rsidRPr="00B177F3" w:rsidRDefault="00735C6C" w:rsidP="002D0312">
            <w:pPr>
              <w:spacing w:line="287" w:lineRule="exact"/>
              <w:jc w:val="right"/>
              <w:rPr>
                <w:rFonts w:ascii="Calibri" w:eastAsia="Calibri" w:hAnsi="Calibri"/>
                <w:b/>
                <w:bCs/>
                <w:sz w:val="22"/>
                <w:szCs w:val="22"/>
              </w:rPr>
            </w:pPr>
            <w:r>
              <w:rPr>
                <w:rFonts w:ascii="Calibri" w:eastAsia="Calibri" w:hAnsi="Calibri"/>
                <w:b/>
                <w:bCs/>
                <w:sz w:val="22"/>
                <w:szCs w:val="22"/>
              </w:rPr>
              <w:t>1 500,00 €</w:t>
            </w:r>
          </w:p>
        </w:tc>
        <w:tc>
          <w:tcPr>
            <w:tcW w:w="2693" w:type="dxa"/>
            <w:shd w:val="clear" w:color="auto" w:fill="auto"/>
          </w:tcPr>
          <w:p w:rsidR="00735C6C" w:rsidRDefault="00735C6C" w:rsidP="002D0312">
            <w:pPr>
              <w:spacing w:line="287" w:lineRule="exact"/>
              <w:jc w:val="right"/>
              <w:rPr>
                <w:rFonts w:ascii="Calibri" w:eastAsia="Calibri" w:hAnsi="Calibri"/>
                <w:b/>
                <w:bCs/>
                <w:sz w:val="22"/>
                <w:szCs w:val="22"/>
              </w:rPr>
            </w:pPr>
          </w:p>
        </w:tc>
      </w:tr>
      <w:tr w:rsidR="00735C6C" w:rsidRPr="00F53F14" w:rsidTr="002D0312">
        <w:tc>
          <w:tcPr>
            <w:tcW w:w="5387" w:type="dxa"/>
            <w:shd w:val="clear" w:color="auto" w:fill="auto"/>
          </w:tcPr>
          <w:p w:rsidR="00735C6C" w:rsidRPr="00F53F14" w:rsidRDefault="00735C6C" w:rsidP="002D0312">
            <w:pPr>
              <w:spacing w:line="287" w:lineRule="exact"/>
              <w:rPr>
                <w:rFonts w:ascii="Calibri" w:eastAsia="Calibri" w:hAnsi="Calibri"/>
                <w:bCs/>
                <w:sz w:val="22"/>
                <w:szCs w:val="22"/>
              </w:rPr>
            </w:pPr>
            <w:r>
              <w:rPr>
                <w:rFonts w:ascii="Calibri" w:eastAsia="Calibri" w:hAnsi="Calibri"/>
                <w:bCs/>
                <w:sz w:val="22"/>
                <w:szCs w:val="22"/>
              </w:rPr>
              <w:t>D 6748 : Autres Subventions exceptionnelles</w:t>
            </w:r>
          </w:p>
        </w:tc>
        <w:tc>
          <w:tcPr>
            <w:tcW w:w="2410" w:type="dxa"/>
            <w:shd w:val="clear" w:color="auto" w:fill="auto"/>
          </w:tcPr>
          <w:p w:rsidR="00735C6C" w:rsidRPr="00F53F14" w:rsidRDefault="00735C6C" w:rsidP="002D0312">
            <w:pPr>
              <w:spacing w:line="287" w:lineRule="exact"/>
              <w:jc w:val="right"/>
              <w:rPr>
                <w:rFonts w:ascii="Calibri" w:eastAsia="Calibri" w:hAnsi="Calibri"/>
                <w:bCs/>
                <w:sz w:val="22"/>
                <w:szCs w:val="22"/>
              </w:rPr>
            </w:pPr>
          </w:p>
        </w:tc>
        <w:tc>
          <w:tcPr>
            <w:tcW w:w="2693" w:type="dxa"/>
            <w:shd w:val="clear" w:color="auto" w:fill="auto"/>
          </w:tcPr>
          <w:p w:rsidR="00735C6C" w:rsidRPr="00F53F14" w:rsidRDefault="00735C6C" w:rsidP="002D0312">
            <w:pPr>
              <w:spacing w:line="287" w:lineRule="exact"/>
              <w:jc w:val="right"/>
              <w:rPr>
                <w:rFonts w:ascii="Calibri" w:eastAsia="Calibri" w:hAnsi="Calibri"/>
                <w:bCs/>
                <w:sz w:val="22"/>
                <w:szCs w:val="22"/>
              </w:rPr>
            </w:pPr>
            <w:r>
              <w:rPr>
                <w:rFonts w:ascii="Calibri" w:eastAsia="Calibri" w:hAnsi="Calibri"/>
                <w:bCs/>
                <w:sz w:val="22"/>
                <w:szCs w:val="22"/>
              </w:rPr>
              <w:t>1 500,00 €</w:t>
            </w:r>
          </w:p>
        </w:tc>
      </w:tr>
      <w:tr w:rsidR="00735C6C" w:rsidRPr="00F53F14" w:rsidTr="002D0312">
        <w:tc>
          <w:tcPr>
            <w:tcW w:w="5387" w:type="dxa"/>
            <w:shd w:val="clear" w:color="auto" w:fill="auto"/>
          </w:tcPr>
          <w:p w:rsidR="00735C6C" w:rsidRPr="00F53F14" w:rsidRDefault="00735C6C" w:rsidP="002D0312">
            <w:pPr>
              <w:spacing w:line="287" w:lineRule="exact"/>
              <w:rPr>
                <w:rFonts w:ascii="Calibri" w:eastAsia="Calibri" w:hAnsi="Calibri"/>
                <w:b/>
                <w:bCs/>
                <w:sz w:val="22"/>
                <w:szCs w:val="22"/>
              </w:rPr>
            </w:pPr>
            <w:r w:rsidRPr="00F53F14">
              <w:rPr>
                <w:rFonts w:ascii="Calibri" w:eastAsia="Calibri" w:hAnsi="Calibri"/>
                <w:b/>
                <w:bCs/>
                <w:sz w:val="22"/>
                <w:szCs w:val="22"/>
              </w:rPr>
              <w:t>TOTAL D 67 : Charges exceptionnelles</w:t>
            </w:r>
          </w:p>
        </w:tc>
        <w:tc>
          <w:tcPr>
            <w:tcW w:w="2410" w:type="dxa"/>
            <w:shd w:val="clear" w:color="auto" w:fill="auto"/>
          </w:tcPr>
          <w:p w:rsidR="00735C6C" w:rsidRPr="00F53F14" w:rsidRDefault="00735C6C" w:rsidP="002D0312">
            <w:pPr>
              <w:spacing w:line="287" w:lineRule="exact"/>
              <w:jc w:val="right"/>
              <w:rPr>
                <w:rFonts w:ascii="Calibri" w:eastAsia="Calibri" w:hAnsi="Calibri"/>
                <w:b/>
                <w:bCs/>
                <w:sz w:val="22"/>
                <w:szCs w:val="22"/>
              </w:rPr>
            </w:pPr>
          </w:p>
        </w:tc>
        <w:tc>
          <w:tcPr>
            <w:tcW w:w="2693" w:type="dxa"/>
            <w:shd w:val="clear" w:color="auto" w:fill="auto"/>
          </w:tcPr>
          <w:p w:rsidR="00735C6C" w:rsidRPr="00F53F14" w:rsidRDefault="00735C6C" w:rsidP="002D0312">
            <w:pPr>
              <w:spacing w:line="287" w:lineRule="exact"/>
              <w:jc w:val="right"/>
              <w:rPr>
                <w:rFonts w:ascii="Calibri" w:eastAsia="Calibri" w:hAnsi="Calibri"/>
                <w:b/>
                <w:bCs/>
                <w:sz w:val="22"/>
                <w:szCs w:val="22"/>
              </w:rPr>
            </w:pPr>
            <w:r w:rsidRPr="00F53F14">
              <w:rPr>
                <w:rFonts w:ascii="Calibri" w:eastAsia="Calibri" w:hAnsi="Calibri"/>
                <w:b/>
                <w:bCs/>
                <w:sz w:val="22"/>
                <w:szCs w:val="22"/>
              </w:rPr>
              <w:t>1 500,00 €</w:t>
            </w:r>
          </w:p>
        </w:tc>
      </w:tr>
      <w:tr w:rsidR="00735C6C" w:rsidRPr="00A20956" w:rsidTr="002D0312">
        <w:tc>
          <w:tcPr>
            <w:tcW w:w="5387" w:type="dxa"/>
            <w:shd w:val="clear" w:color="auto" w:fill="auto"/>
          </w:tcPr>
          <w:p w:rsidR="00735C6C" w:rsidRPr="007F3AD3" w:rsidRDefault="00735C6C" w:rsidP="002D0312">
            <w:pPr>
              <w:spacing w:line="287" w:lineRule="exact"/>
              <w:rPr>
                <w:rFonts w:ascii="Calibri" w:eastAsia="Calibri" w:hAnsi="Calibri"/>
                <w:bCs/>
                <w:sz w:val="22"/>
                <w:szCs w:val="22"/>
              </w:rPr>
            </w:pPr>
            <w:r>
              <w:rPr>
                <w:rFonts w:ascii="Calibri" w:eastAsia="Calibri" w:hAnsi="Calibri"/>
                <w:bCs/>
                <w:sz w:val="22"/>
                <w:szCs w:val="22"/>
              </w:rPr>
              <w:t>R : 73223 : FPIC Fonds national de péréquation</w:t>
            </w:r>
          </w:p>
        </w:tc>
        <w:tc>
          <w:tcPr>
            <w:tcW w:w="2410" w:type="dxa"/>
            <w:shd w:val="clear" w:color="auto" w:fill="auto"/>
          </w:tcPr>
          <w:p w:rsidR="00735C6C" w:rsidRPr="00030DE4" w:rsidRDefault="00735C6C" w:rsidP="002D0312">
            <w:pPr>
              <w:spacing w:line="287" w:lineRule="exact"/>
              <w:jc w:val="right"/>
              <w:rPr>
                <w:rFonts w:ascii="Calibri" w:eastAsia="Calibri" w:hAnsi="Calibri"/>
                <w:bCs/>
                <w:sz w:val="22"/>
                <w:szCs w:val="22"/>
              </w:rPr>
            </w:pPr>
          </w:p>
        </w:tc>
        <w:tc>
          <w:tcPr>
            <w:tcW w:w="2693" w:type="dxa"/>
            <w:shd w:val="clear" w:color="auto" w:fill="auto"/>
          </w:tcPr>
          <w:p w:rsidR="00735C6C" w:rsidRPr="007F3AD3" w:rsidRDefault="00735C6C" w:rsidP="002D0312">
            <w:pPr>
              <w:spacing w:line="287" w:lineRule="exact"/>
              <w:jc w:val="right"/>
              <w:rPr>
                <w:rFonts w:ascii="Calibri" w:eastAsia="Calibri" w:hAnsi="Calibri"/>
                <w:bCs/>
                <w:sz w:val="22"/>
                <w:szCs w:val="22"/>
              </w:rPr>
            </w:pPr>
            <w:r>
              <w:rPr>
                <w:rFonts w:ascii="Calibri" w:eastAsia="Calibri" w:hAnsi="Calibri"/>
                <w:bCs/>
                <w:sz w:val="22"/>
                <w:szCs w:val="22"/>
              </w:rPr>
              <w:t>100,00 €</w:t>
            </w:r>
          </w:p>
        </w:tc>
      </w:tr>
      <w:tr w:rsidR="00735C6C" w:rsidRPr="00B177F3" w:rsidTr="002D0312">
        <w:tc>
          <w:tcPr>
            <w:tcW w:w="5387" w:type="dxa"/>
            <w:shd w:val="clear" w:color="auto" w:fill="auto"/>
          </w:tcPr>
          <w:p w:rsidR="00735C6C" w:rsidRPr="00B177F3" w:rsidRDefault="00735C6C" w:rsidP="002D0312">
            <w:pPr>
              <w:spacing w:line="287" w:lineRule="exact"/>
              <w:rPr>
                <w:rFonts w:ascii="Calibri" w:eastAsia="Calibri" w:hAnsi="Calibri"/>
                <w:b/>
                <w:bCs/>
                <w:sz w:val="22"/>
                <w:szCs w:val="22"/>
              </w:rPr>
            </w:pPr>
            <w:r>
              <w:rPr>
                <w:rFonts w:ascii="Calibri" w:eastAsia="Calibri" w:hAnsi="Calibri"/>
                <w:b/>
                <w:bCs/>
                <w:sz w:val="22"/>
                <w:szCs w:val="22"/>
              </w:rPr>
              <w:t>TOTAL R 73 : Impôts et taxes</w:t>
            </w:r>
          </w:p>
        </w:tc>
        <w:tc>
          <w:tcPr>
            <w:tcW w:w="2410" w:type="dxa"/>
            <w:shd w:val="clear" w:color="auto" w:fill="auto"/>
          </w:tcPr>
          <w:p w:rsidR="00735C6C" w:rsidRPr="00B177F3" w:rsidRDefault="00735C6C" w:rsidP="002D0312">
            <w:pPr>
              <w:spacing w:line="287" w:lineRule="exact"/>
              <w:jc w:val="right"/>
              <w:rPr>
                <w:rFonts w:ascii="Calibri" w:eastAsia="Calibri" w:hAnsi="Calibri"/>
                <w:b/>
                <w:bCs/>
                <w:sz w:val="22"/>
                <w:szCs w:val="22"/>
              </w:rPr>
            </w:pPr>
          </w:p>
        </w:tc>
        <w:tc>
          <w:tcPr>
            <w:tcW w:w="2693" w:type="dxa"/>
            <w:shd w:val="clear" w:color="auto" w:fill="auto"/>
          </w:tcPr>
          <w:p w:rsidR="00735C6C" w:rsidRPr="00B177F3" w:rsidRDefault="00735C6C" w:rsidP="002D0312">
            <w:pPr>
              <w:spacing w:line="287" w:lineRule="exact"/>
              <w:jc w:val="right"/>
              <w:rPr>
                <w:rFonts w:ascii="Calibri" w:eastAsia="Calibri" w:hAnsi="Calibri"/>
                <w:b/>
                <w:bCs/>
                <w:sz w:val="22"/>
                <w:szCs w:val="22"/>
              </w:rPr>
            </w:pPr>
            <w:r>
              <w:rPr>
                <w:rFonts w:ascii="Calibri" w:eastAsia="Calibri" w:hAnsi="Calibri"/>
                <w:b/>
                <w:bCs/>
                <w:sz w:val="22"/>
                <w:szCs w:val="22"/>
              </w:rPr>
              <w:t>100,00 €</w:t>
            </w:r>
          </w:p>
        </w:tc>
      </w:tr>
    </w:tbl>
    <w:p w:rsidR="00735C6C" w:rsidRDefault="00735C6C" w:rsidP="00735C6C">
      <w:pPr>
        <w:spacing w:line="287" w:lineRule="exact"/>
        <w:jc w:val="both"/>
        <w:rPr>
          <w:bCs/>
        </w:rPr>
      </w:pPr>
    </w:p>
    <w:p w:rsidR="00735C6C" w:rsidRDefault="00735C6C" w:rsidP="00735C6C">
      <w:pPr>
        <w:spacing w:line="287" w:lineRule="exact"/>
        <w:jc w:val="both"/>
        <w:rPr>
          <w:bCs/>
        </w:rPr>
      </w:pPr>
      <w:r>
        <w:rPr>
          <w:bCs/>
        </w:rPr>
        <w:t>Le Conseil Municipal, après délibération à l’unanimité, approuve ces modifications.</w:t>
      </w:r>
    </w:p>
    <w:p w:rsidR="00735C6C" w:rsidRDefault="00735C6C" w:rsidP="00735C6C">
      <w:pPr>
        <w:spacing w:line="287" w:lineRule="exact"/>
        <w:jc w:val="both"/>
        <w:rPr>
          <w:bCs/>
        </w:rPr>
      </w:pPr>
    </w:p>
    <w:p w:rsidR="00735C6C" w:rsidRDefault="00735C6C" w:rsidP="00735C6C">
      <w:pPr>
        <w:jc w:val="both"/>
        <w:rPr>
          <w:bCs/>
        </w:rPr>
      </w:pPr>
      <w:r>
        <w:rPr>
          <w:bCs/>
        </w:rPr>
        <w:tab/>
      </w:r>
    </w:p>
    <w:p w:rsidR="00735C6C" w:rsidRDefault="00735C6C" w:rsidP="00735C6C">
      <w:pPr>
        <w:jc w:val="both"/>
        <w:rPr>
          <w:bCs/>
        </w:rPr>
      </w:pPr>
    </w:p>
    <w:p w:rsidR="00735C6C" w:rsidRDefault="00735C6C" w:rsidP="00735C6C">
      <w:pPr>
        <w:jc w:val="both"/>
        <w:rPr>
          <w:bCs/>
        </w:rPr>
      </w:pPr>
    </w:p>
    <w:p w:rsidR="00735C6C" w:rsidRDefault="00735C6C" w:rsidP="00735C6C">
      <w:pPr>
        <w:ind w:firstLine="708"/>
        <w:jc w:val="both"/>
        <w:rPr>
          <w:bCs/>
        </w:rPr>
      </w:pPr>
      <w:r w:rsidRPr="00B874E3">
        <w:rPr>
          <w:b/>
          <w:bCs/>
          <w:u w:val="single"/>
        </w:rPr>
        <w:t xml:space="preserve">Attribution de Compensation Ardèche Rhône </w:t>
      </w:r>
      <w:proofErr w:type="spellStart"/>
      <w:r w:rsidRPr="00B874E3">
        <w:rPr>
          <w:b/>
          <w:bCs/>
          <w:u w:val="single"/>
        </w:rPr>
        <w:t>Coiron</w:t>
      </w:r>
      <w:proofErr w:type="spellEnd"/>
      <w:r>
        <w:rPr>
          <w:bCs/>
        </w:rPr>
        <w:t xml:space="preserve"> : </w:t>
      </w:r>
    </w:p>
    <w:p w:rsidR="00735C6C" w:rsidRPr="00D871FA" w:rsidRDefault="00735C6C" w:rsidP="00735C6C">
      <w:pPr>
        <w:jc w:val="both"/>
      </w:pPr>
      <w:r w:rsidRPr="00D871FA">
        <w:t>Vu le Code Général des Collectivités Territoriales ;</w:t>
      </w:r>
    </w:p>
    <w:p w:rsidR="00735C6C" w:rsidRPr="00D871FA" w:rsidRDefault="00735C6C" w:rsidP="00735C6C">
      <w:pPr>
        <w:jc w:val="both"/>
      </w:pPr>
      <w:r w:rsidRPr="00D871FA">
        <w:t xml:space="preserve">Vu le code général des impôts et notamment l'article 1609 </w:t>
      </w:r>
      <w:proofErr w:type="spellStart"/>
      <w:r w:rsidRPr="00D871FA">
        <w:t>nonies</w:t>
      </w:r>
      <w:proofErr w:type="spellEnd"/>
      <w:r w:rsidRPr="00D871FA">
        <w:t xml:space="preserve"> C ;</w:t>
      </w:r>
    </w:p>
    <w:p w:rsidR="00735C6C" w:rsidRPr="00D871FA" w:rsidRDefault="00735C6C" w:rsidP="00735C6C">
      <w:pPr>
        <w:jc w:val="both"/>
      </w:pPr>
      <w:r w:rsidRPr="00D871FA">
        <w:t>Considérant que, conformément à la loi du 12 juillet 1999 relative au renforcement et à la simplification de la coopération intercommunale, la Commission Locale d'Evaluation des Transferts de Charges s'est réunie le 30 septembre 2019 pour travailler sur les dossiers suivants :</w:t>
      </w:r>
    </w:p>
    <w:p w:rsidR="00735C6C" w:rsidRPr="00D871FA" w:rsidRDefault="00735C6C" w:rsidP="00735C6C">
      <w:pPr>
        <w:numPr>
          <w:ilvl w:val="0"/>
          <w:numId w:val="2"/>
        </w:numPr>
        <w:jc w:val="both"/>
      </w:pPr>
      <w:r w:rsidRPr="00D871FA">
        <w:rPr>
          <w:bCs/>
        </w:rPr>
        <w:t xml:space="preserve">L’évaluation des charges à transférer et la </w:t>
      </w:r>
      <w:r>
        <w:rPr>
          <w:bCs/>
        </w:rPr>
        <w:t>révision de l’a</w:t>
      </w:r>
      <w:r w:rsidRPr="00D871FA">
        <w:rPr>
          <w:bCs/>
        </w:rPr>
        <w:t xml:space="preserve">ttribution de compensation des communes de Baix, Cruas, Meysse, Rochemaure, Saint Vincent de Barrès, Saint Symphorien Sous Chomérac, Saint Martin sur </w:t>
      </w:r>
      <w:proofErr w:type="spellStart"/>
      <w:r w:rsidRPr="00D871FA">
        <w:rPr>
          <w:bCs/>
        </w:rPr>
        <w:t>Lavezon</w:t>
      </w:r>
      <w:proofErr w:type="spellEnd"/>
      <w:r w:rsidRPr="00D871FA">
        <w:rPr>
          <w:bCs/>
        </w:rPr>
        <w:t xml:space="preserve">, Saint </w:t>
      </w:r>
      <w:proofErr w:type="spellStart"/>
      <w:r w:rsidRPr="00D871FA">
        <w:rPr>
          <w:bCs/>
        </w:rPr>
        <w:t>Bauzile</w:t>
      </w:r>
      <w:proofErr w:type="spellEnd"/>
      <w:r w:rsidRPr="00D871FA">
        <w:rPr>
          <w:bCs/>
        </w:rPr>
        <w:t>, Saint Lager Bressac, dans le cadre de l’élargissement de la compétence gestion des outils culturels et développement de la lecture publique (bibliothèques et cinéma de Cruas) à l’échelon intercommunal au 1</w:t>
      </w:r>
      <w:r w:rsidRPr="00D871FA">
        <w:rPr>
          <w:bCs/>
          <w:vertAlign w:val="superscript"/>
        </w:rPr>
        <w:t>er</w:t>
      </w:r>
      <w:r w:rsidRPr="00D871FA">
        <w:rPr>
          <w:bCs/>
        </w:rPr>
        <w:t xml:space="preserve"> janvier 2019.</w:t>
      </w:r>
    </w:p>
    <w:p w:rsidR="00735C6C" w:rsidRPr="00D871FA" w:rsidRDefault="00735C6C" w:rsidP="00735C6C">
      <w:pPr>
        <w:numPr>
          <w:ilvl w:val="0"/>
          <w:numId w:val="2"/>
        </w:numPr>
        <w:jc w:val="both"/>
      </w:pPr>
      <w:r w:rsidRPr="00D871FA">
        <w:rPr>
          <w:bCs/>
        </w:rPr>
        <w:t>La réévaluation des charge</w:t>
      </w:r>
      <w:r>
        <w:rPr>
          <w:bCs/>
        </w:rPr>
        <w:t>s à transférer et révision des a</w:t>
      </w:r>
      <w:r w:rsidRPr="00D871FA">
        <w:rPr>
          <w:bCs/>
        </w:rPr>
        <w:t>t</w:t>
      </w:r>
      <w:r>
        <w:rPr>
          <w:bCs/>
        </w:rPr>
        <w:t>tributions de compensation des c</w:t>
      </w:r>
      <w:r w:rsidRPr="00D871FA">
        <w:rPr>
          <w:bCs/>
        </w:rPr>
        <w:t xml:space="preserve">ommunes d’Alba La Romaine, </w:t>
      </w:r>
      <w:proofErr w:type="spellStart"/>
      <w:r w:rsidRPr="00D871FA">
        <w:rPr>
          <w:bCs/>
        </w:rPr>
        <w:t>Aubignas</w:t>
      </w:r>
      <w:proofErr w:type="spellEnd"/>
      <w:r w:rsidRPr="00D871FA">
        <w:rPr>
          <w:bCs/>
        </w:rPr>
        <w:t>, Le Teil, Saint-</w:t>
      </w:r>
      <w:proofErr w:type="spellStart"/>
      <w:r w:rsidRPr="00D871FA">
        <w:rPr>
          <w:bCs/>
        </w:rPr>
        <w:t>Thomé</w:t>
      </w:r>
      <w:proofErr w:type="spellEnd"/>
      <w:r w:rsidRPr="00D871FA">
        <w:rPr>
          <w:bCs/>
        </w:rPr>
        <w:t xml:space="preserve">, </w:t>
      </w:r>
      <w:proofErr w:type="spellStart"/>
      <w:r w:rsidRPr="00D871FA">
        <w:rPr>
          <w:bCs/>
        </w:rPr>
        <w:t>Valvignères</w:t>
      </w:r>
      <w:proofErr w:type="spellEnd"/>
      <w:r w:rsidRPr="00D871FA">
        <w:rPr>
          <w:bCs/>
        </w:rPr>
        <w:t xml:space="preserve"> dans le cadre de la compétence GEMAPI.</w:t>
      </w:r>
    </w:p>
    <w:p w:rsidR="00735C6C" w:rsidRPr="00D871FA" w:rsidRDefault="00735C6C" w:rsidP="00735C6C">
      <w:pPr>
        <w:jc w:val="both"/>
      </w:pPr>
    </w:p>
    <w:p w:rsidR="00735C6C" w:rsidRPr="00D871FA" w:rsidRDefault="00735C6C" w:rsidP="00735C6C">
      <w:pPr>
        <w:jc w:val="both"/>
      </w:pPr>
      <w:r w:rsidRPr="00D871FA">
        <w:t xml:space="preserve">Considérant que le rapport qui a pour objet de présenter une méthodologie d'évaluation des charges transférées à la Communauté des Communes et définir les estimations des charges supportées par les communes membres, a été adopté à l'unanimité par la </w:t>
      </w:r>
      <w:bookmarkStart w:id="0" w:name="_Hlk25151254"/>
      <w:r w:rsidRPr="00D871FA">
        <w:t>Commission Locale d'</w:t>
      </w:r>
      <w:r>
        <w:t xml:space="preserve"> </w:t>
      </w:r>
      <w:r w:rsidRPr="00D871FA">
        <w:t xml:space="preserve">Evaluation des Transferts de Charges (C.L.E.C.T), </w:t>
      </w:r>
      <w:bookmarkEnd w:id="0"/>
      <w:r w:rsidRPr="00D871FA">
        <w:t>le 30 septembre 2019</w:t>
      </w:r>
      <w:r>
        <w:t>.</w:t>
      </w:r>
    </w:p>
    <w:p w:rsidR="00735C6C" w:rsidRPr="00D871FA" w:rsidRDefault="00735C6C" w:rsidP="00735C6C">
      <w:pPr>
        <w:ind w:firstLine="708"/>
        <w:jc w:val="both"/>
      </w:pPr>
      <w:r w:rsidRPr="00D871FA">
        <w:t xml:space="preserve">Vu la délibération </w:t>
      </w:r>
      <w:r>
        <w:t>du Conseil M</w:t>
      </w:r>
      <w:r w:rsidRPr="00D871FA">
        <w:t>unicipal dans sa session</w:t>
      </w:r>
      <w:r>
        <w:t xml:space="preserve"> du 9 octobre </w:t>
      </w:r>
      <w:r w:rsidRPr="00D871FA">
        <w:t>2019 approuvant le Rapport de la Commission Locale d'</w:t>
      </w:r>
      <w:r>
        <w:t xml:space="preserve"> </w:t>
      </w:r>
      <w:r w:rsidRPr="00D871FA">
        <w:t xml:space="preserve">Evaluation des Transferts de Charges (C.L.E.C.T), </w:t>
      </w:r>
    </w:p>
    <w:p w:rsidR="00735C6C" w:rsidRDefault="00735C6C" w:rsidP="00735C6C">
      <w:pPr>
        <w:jc w:val="both"/>
      </w:pPr>
      <w:r w:rsidRPr="00D871FA">
        <w:t>Considérant que le Conseil Communautaire dans sa session du 4 novembre 2019 a approuvé, à l'unanimité, le montant définitif des attributions de compensations communales au titre de l'année 2019 </w:t>
      </w:r>
      <w:r>
        <w:t xml:space="preserve">dans le cadre des transferts de charges opérés ; </w:t>
      </w:r>
    </w:p>
    <w:p w:rsidR="00735C6C" w:rsidRPr="00D871FA" w:rsidRDefault="00735C6C" w:rsidP="00735C6C">
      <w:pPr>
        <w:pStyle w:val="Sansinterligne"/>
        <w:rPr>
          <w:rFonts w:ascii="Times New Roman" w:hAnsi="Times New Roman"/>
          <w:sz w:val="24"/>
          <w:szCs w:val="24"/>
        </w:rPr>
      </w:pPr>
      <w:r>
        <w:rPr>
          <w:rFonts w:ascii="Times New Roman" w:hAnsi="Times New Roman"/>
          <w:sz w:val="24"/>
          <w:szCs w:val="24"/>
        </w:rPr>
        <w:t>Le Conseil Municipal, a</w:t>
      </w:r>
      <w:r w:rsidRPr="00D871FA">
        <w:rPr>
          <w:rFonts w:ascii="Times New Roman" w:hAnsi="Times New Roman"/>
          <w:sz w:val="24"/>
          <w:szCs w:val="24"/>
        </w:rPr>
        <w:t>près en avoir délibéré,</w:t>
      </w:r>
      <w:r>
        <w:rPr>
          <w:rFonts w:ascii="Times New Roman" w:hAnsi="Times New Roman"/>
          <w:sz w:val="24"/>
          <w:szCs w:val="24"/>
        </w:rPr>
        <w:t xml:space="preserve"> à l’unanimité :</w:t>
      </w:r>
    </w:p>
    <w:p w:rsidR="00735C6C" w:rsidRDefault="00735C6C" w:rsidP="00735C6C">
      <w:pPr>
        <w:jc w:val="both"/>
      </w:pPr>
      <w:r w:rsidRPr="00D871FA">
        <w:rPr>
          <w:bCs/>
        </w:rPr>
        <w:t>APPROUVE</w:t>
      </w:r>
      <w:r w:rsidRPr="00D871FA">
        <w:rPr>
          <w:b/>
          <w:bCs/>
        </w:rPr>
        <w:t xml:space="preserve"> </w:t>
      </w:r>
      <w:r w:rsidRPr="00D871FA">
        <w:t>le montant définitif de l’attribution de compensation 2019 de la</w:t>
      </w:r>
      <w:r>
        <w:t xml:space="preserve"> commune fixé à 209 079.35 </w:t>
      </w:r>
      <w:r w:rsidRPr="00D871FA">
        <w:t>€</w:t>
      </w:r>
      <w:r>
        <w:t xml:space="preserve"> tel que mentionné dans le tableau ci-annexé,</w:t>
      </w:r>
    </w:p>
    <w:p w:rsidR="00735C6C" w:rsidRDefault="00735C6C" w:rsidP="00735C6C">
      <w:pPr>
        <w:jc w:val="both"/>
      </w:pPr>
      <w:r>
        <w:t>PRECISE QUE le montant définitif de l’attribution de compensation 2019 de la commune précitée prend en compte la révision à la baisse des attributions de compensation des communes de 5 % fixée par délibération n° 2019-55 du conseil communautaire dans sa session du 15/04/2019,</w:t>
      </w:r>
    </w:p>
    <w:p w:rsidR="00735C6C" w:rsidRPr="00D871FA" w:rsidRDefault="00735C6C" w:rsidP="00735C6C">
      <w:pPr>
        <w:jc w:val="both"/>
      </w:pPr>
      <w:r w:rsidRPr="00D871FA">
        <w:rPr>
          <w:bCs/>
        </w:rPr>
        <w:t>DONNE POUVOIR</w:t>
      </w:r>
      <w:r w:rsidRPr="00D871FA">
        <w:t xml:space="preserve"> </w:t>
      </w:r>
      <w:r>
        <w:t>à Madame le</w:t>
      </w:r>
      <w:r w:rsidRPr="00D871FA">
        <w:t xml:space="preserve"> Maire pour toutes les démarches et signatures nécessaires à l’exécution de la présente délibération.</w:t>
      </w:r>
    </w:p>
    <w:p w:rsidR="00735C6C" w:rsidRPr="00D871FA" w:rsidRDefault="00735C6C" w:rsidP="00735C6C">
      <w:pPr>
        <w:spacing w:line="287" w:lineRule="exact"/>
        <w:jc w:val="both"/>
        <w:rPr>
          <w:bCs/>
        </w:rPr>
      </w:pPr>
      <w:r w:rsidRPr="00D871FA">
        <w:rPr>
          <w:bCs/>
        </w:rPr>
        <w:tab/>
      </w:r>
    </w:p>
    <w:p w:rsidR="00735C6C" w:rsidRDefault="00735C6C" w:rsidP="00735C6C">
      <w:pPr>
        <w:spacing w:line="287" w:lineRule="exact"/>
        <w:jc w:val="both"/>
        <w:rPr>
          <w:bCs/>
        </w:rPr>
      </w:pPr>
      <w:r>
        <w:rPr>
          <w:bCs/>
        </w:rPr>
        <w:tab/>
      </w:r>
      <w:r w:rsidRPr="00B874E3">
        <w:rPr>
          <w:b/>
          <w:bCs/>
          <w:u w:val="single"/>
        </w:rPr>
        <w:t>Subvention exceptionnelle commune Le Teil suite à séisme</w:t>
      </w:r>
      <w:r>
        <w:rPr>
          <w:bCs/>
        </w:rPr>
        <w:t> : Madame le Maire rappelle le séisme du 11 novembre 2019 d’une magnitude de 5,4 sur l’échelle de Richter qui a frappé la ville du Teil en Ardèche.</w:t>
      </w:r>
    </w:p>
    <w:p w:rsidR="00735C6C" w:rsidRDefault="00735C6C" w:rsidP="00735C6C">
      <w:pPr>
        <w:spacing w:line="287" w:lineRule="exact"/>
        <w:ind w:firstLine="708"/>
        <w:jc w:val="both"/>
        <w:rPr>
          <w:bCs/>
        </w:rPr>
      </w:pPr>
      <w:r>
        <w:rPr>
          <w:bCs/>
        </w:rPr>
        <w:t xml:space="preserve"> La commune a subi des dégâts considérables et exceptionnels qui se chiffrent en millions d’euros. A ce jour, 895 habitations sont touchées, de nombreux édifices publics sont détruits : 4 écoles, l’espace culturel, 2 églises, le centre socioculturel, de nombreuses voiries, une partie de l’hôtel de ville.</w:t>
      </w:r>
    </w:p>
    <w:p w:rsidR="00735C6C" w:rsidRDefault="00735C6C" w:rsidP="00735C6C">
      <w:pPr>
        <w:spacing w:line="287" w:lineRule="exact"/>
        <w:jc w:val="both"/>
        <w:rPr>
          <w:bCs/>
        </w:rPr>
      </w:pPr>
      <w:r>
        <w:rPr>
          <w:bCs/>
        </w:rPr>
        <w:tab/>
        <w:t xml:space="preserve">Le Maire du Teil a lancé un appel solennel au don à toutes les communes et intercommunalités de France. </w:t>
      </w:r>
    </w:p>
    <w:p w:rsidR="00735C6C" w:rsidRDefault="00735C6C" w:rsidP="00735C6C">
      <w:pPr>
        <w:spacing w:line="287" w:lineRule="exact"/>
        <w:jc w:val="both"/>
        <w:rPr>
          <w:bCs/>
        </w:rPr>
      </w:pPr>
      <w:r>
        <w:rPr>
          <w:bCs/>
        </w:rPr>
        <w:tab/>
        <w:t>La commune souhaite s’inscrire dans cette démarche de solidarité. C’est pourquoi Madame le Maire propose au Conseil Municipal d’allouer une subvention exceptionnelle à la commune du Teil. Cette subvention pourrait être de 2 500 €.</w:t>
      </w:r>
    </w:p>
    <w:p w:rsidR="00735C6C" w:rsidRDefault="00735C6C" w:rsidP="00735C6C">
      <w:pPr>
        <w:spacing w:line="287" w:lineRule="exact"/>
        <w:jc w:val="both"/>
        <w:rPr>
          <w:bCs/>
        </w:rPr>
      </w:pPr>
    </w:p>
    <w:p w:rsidR="00735C6C" w:rsidRDefault="00735C6C" w:rsidP="00735C6C">
      <w:pPr>
        <w:spacing w:line="287" w:lineRule="exact"/>
        <w:jc w:val="both"/>
        <w:rPr>
          <w:bCs/>
        </w:rPr>
      </w:pPr>
    </w:p>
    <w:p w:rsidR="00735C6C" w:rsidRDefault="00735C6C" w:rsidP="00735C6C">
      <w:pPr>
        <w:spacing w:line="287" w:lineRule="exact"/>
        <w:jc w:val="both"/>
        <w:rPr>
          <w:bCs/>
        </w:rPr>
      </w:pPr>
    </w:p>
    <w:p w:rsidR="00735C6C" w:rsidRDefault="00735C6C" w:rsidP="00735C6C">
      <w:pPr>
        <w:spacing w:line="287" w:lineRule="exact"/>
        <w:jc w:val="both"/>
        <w:rPr>
          <w:bCs/>
        </w:rPr>
      </w:pPr>
      <w:r>
        <w:rPr>
          <w:bCs/>
        </w:rPr>
        <w:tab/>
        <w:t xml:space="preserve">Ceci étant exposé, il est donc demandé au Conseil Municipal d’adopter les termes de la délibération suivante : </w:t>
      </w:r>
    </w:p>
    <w:p w:rsidR="00735C6C" w:rsidRDefault="00735C6C" w:rsidP="00735C6C">
      <w:pPr>
        <w:spacing w:line="287" w:lineRule="exact"/>
        <w:jc w:val="both"/>
        <w:rPr>
          <w:bCs/>
        </w:rPr>
      </w:pPr>
      <w:r>
        <w:rPr>
          <w:bCs/>
        </w:rPr>
        <w:t>La commune de ST SYMPHORIEN SOUS CHOMERAC,</w:t>
      </w:r>
    </w:p>
    <w:p w:rsidR="00735C6C" w:rsidRDefault="00735C6C" w:rsidP="00735C6C">
      <w:pPr>
        <w:spacing w:line="287" w:lineRule="exact"/>
        <w:jc w:val="both"/>
        <w:rPr>
          <w:bCs/>
        </w:rPr>
      </w:pPr>
      <w:r>
        <w:rPr>
          <w:bCs/>
        </w:rPr>
        <w:t>Vu le Code Général des Collectivités Territoriales et notamment son article L2121-29 ;</w:t>
      </w:r>
    </w:p>
    <w:p w:rsidR="00735C6C" w:rsidRDefault="00735C6C" w:rsidP="00735C6C">
      <w:pPr>
        <w:spacing w:line="287" w:lineRule="exact"/>
        <w:jc w:val="both"/>
        <w:rPr>
          <w:bCs/>
        </w:rPr>
      </w:pPr>
      <w:r>
        <w:rPr>
          <w:bCs/>
        </w:rPr>
        <w:t xml:space="preserve">Entendu le rapport de présentation, </w:t>
      </w:r>
    </w:p>
    <w:p w:rsidR="00735C6C" w:rsidRDefault="00735C6C" w:rsidP="00735C6C">
      <w:pPr>
        <w:spacing w:line="287" w:lineRule="exact"/>
        <w:jc w:val="both"/>
        <w:rPr>
          <w:bCs/>
        </w:rPr>
      </w:pPr>
      <w:r>
        <w:rPr>
          <w:bCs/>
        </w:rPr>
        <w:t>Considérant que la commune souhaite s’associer à l’élan national de solidarité en faveur de la commune du Teil</w:t>
      </w:r>
    </w:p>
    <w:p w:rsidR="00735C6C" w:rsidRDefault="00735C6C" w:rsidP="00735C6C">
      <w:pPr>
        <w:spacing w:line="287" w:lineRule="exact"/>
        <w:jc w:val="both"/>
        <w:rPr>
          <w:bCs/>
        </w:rPr>
      </w:pPr>
      <w:r>
        <w:rPr>
          <w:bCs/>
        </w:rPr>
        <w:tab/>
        <w:t>Le Conseil Municipal après en avoir délibéré à l’unanimité</w:t>
      </w:r>
    </w:p>
    <w:p w:rsidR="00735C6C" w:rsidRDefault="00735C6C" w:rsidP="00735C6C">
      <w:pPr>
        <w:spacing w:line="287" w:lineRule="exact"/>
        <w:jc w:val="both"/>
        <w:rPr>
          <w:bCs/>
        </w:rPr>
      </w:pPr>
      <w:r>
        <w:rPr>
          <w:bCs/>
        </w:rPr>
        <w:t>AUTORISE Madame le Maire à verser une subvention exceptionnelle de 2 500 € à la commune du Teil</w:t>
      </w:r>
    </w:p>
    <w:p w:rsidR="00735C6C" w:rsidRDefault="00735C6C" w:rsidP="00735C6C">
      <w:pPr>
        <w:spacing w:line="287" w:lineRule="exact"/>
        <w:jc w:val="both"/>
        <w:rPr>
          <w:bCs/>
        </w:rPr>
      </w:pPr>
      <w:r>
        <w:rPr>
          <w:bCs/>
        </w:rPr>
        <w:t>DONNE POUVOIR à Madame le Maire pour signer tous les documents relatifs à cette décision.</w:t>
      </w:r>
    </w:p>
    <w:p w:rsidR="00735C6C" w:rsidRDefault="00735C6C" w:rsidP="00735C6C">
      <w:pPr>
        <w:spacing w:line="287" w:lineRule="exact"/>
        <w:jc w:val="both"/>
        <w:rPr>
          <w:bCs/>
        </w:rPr>
      </w:pPr>
    </w:p>
    <w:p w:rsidR="00506A97" w:rsidRDefault="00735C6C" w:rsidP="00506A97">
      <w:pPr>
        <w:spacing w:line="287" w:lineRule="exact"/>
        <w:jc w:val="both"/>
        <w:rPr>
          <w:bCs/>
        </w:rPr>
      </w:pPr>
      <w:r>
        <w:rPr>
          <w:bCs/>
        </w:rPr>
        <w:tab/>
      </w:r>
      <w:r w:rsidR="00506A97" w:rsidRPr="00B874E3">
        <w:rPr>
          <w:b/>
          <w:bCs/>
          <w:u w:val="single"/>
        </w:rPr>
        <w:t>Attributions subventions communales</w:t>
      </w:r>
      <w:r w:rsidR="00506A97">
        <w:rPr>
          <w:bCs/>
        </w:rPr>
        <w:t xml:space="preserve"> : </w:t>
      </w:r>
      <w:r w:rsidR="00506A97" w:rsidRPr="00D257E1">
        <w:rPr>
          <w:bCs/>
        </w:rPr>
        <w:t xml:space="preserve">Madame </w:t>
      </w:r>
      <w:r w:rsidR="00506A97">
        <w:rPr>
          <w:bCs/>
        </w:rPr>
        <w:t>le Maire rappelle au Conseil Municipal l’inscription d’une somme de 2 500 € au compte 6574 « subventions privées » lors du vote du Budget Primitif 2019.</w:t>
      </w:r>
    </w:p>
    <w:p w:rsidR="00506A97" w:rsidRDefault="00506A97" w:rsidP="00506A97">
      <w:pPr>
        <w:spacing w:line="287" w:lineRule="exact"/>
        <w:jc w:val="both"/>
      </w:pPr>
      <w:r>
        <w:tab/>
        <w:t>Il y a lieu désormais d’attribuer les subventions au vu des comptes et projets des diverses associations.</w:t>
      </w:r>
    </w:p>
    <w:p w:rsidR="00506A97" w:rsidRDefault="00506A97" w:rsidP="00506A97">
      <w:pPr>
        <w:spacing w:line="287" w:lineRule="exact"/>
        <w:jc w:val="both"/>
      </w:pPr>
      <w:r>
        <w:tab/>
        <w:t xml:space="preserve">Le Conseil Municipal après délibération à l’unanimité décide l’octroi des subventions suivantes : </w:t>
      </w:r>
    </w:p>
    <w:p w:rsidR="00506A97" w:rsidRDefault="00506A97" w:rsidP="00506A97">
      <w:pPr>
        <w:spacing w:line="287" w:lineRule="exact"/>
        <w:jc w:val="both"/>
      </w:pPr>
      <w:r>
        <w:tab/>
      </w:r>
      <w:r>
        <w:tab/>
        <w:t xml:space="preserve">Amicale Laïque : 200 € </w:t>
      </w:r>
    </w:p>
    <w:p w:rsidR="00506A97" w:rsidRDefault="00506A97" w:rsidP="00506A97">
      <w:pPr>
        <w:spacing w:line="287" w:lineRule="exact"/>
        <w:jc w:val="both"/>
      </w:pPr>
      <w:r>
        <w:tab/>
      </w:r>
      <w:r>
        <w:tab/>
        <w:t>Les Arts du Temps Libre : 300 €</w:t>
      </w:r>
    </w:p>
    <w:p w:rsidR="00506A97" w:rsidRDefault="00506A97" w:rsidP="00506A97">
      <w:pPr>
        <w:spacing w:line="287" w:lineRule="exact"/>
        <w:jc w:val="both"/>
      </w:pPr>
      <w:r>
        <w:tab/>
      </w:r>
      <w:r>
        <w:tab/>
      </w:r>
      <w:proofErr w:type="spellStart"/>
      <w:r>
        <w:t>Symphogym</w:t>
      </w:r>
      <w:proofErr w:type="spellEnd"/>
      <w:r>
        <w:t> : 200 €</w:t>
      </w:r>
    </w:p>
    <w:p w:rsidR="00506A97" w:rsidRDefault="00506A97" w:rsidP="00506A97">
      <w:pPr>
        <w:spacing w:line="287" w:lineRule="exact"/>
        <w:jc w:val="both"/>
      </w:pPr>
      <w:r>
        <w:tab/>
      </w:r>
      <w:r>
        <w:tab/>
        <w:t xml:space="preserve">Les Randonneurs de la Payre : 120 € </w:t>
      </w:r>
    </w:p>
    <w:p w:rsidR="00506A97" w:rsidRDefault="00506A97" w:rsidP="00506A97">
      <w:pPr>
        <w:spacing w:line="287" w:lineRule="exact"/>
        <w:jc w:val="both"/>
      </w:pPr>
      <w:r>
        <w:tab/>
      </w:r>
      <w:r>
        <w:tab/>
        <w:t>FNACA : 50 €</w:t>
      </w:r>
    </w:p>
    <w:p w:rsidR="00506A97" w:rsidRDefault="00506A97" w:rsidP="00506A97">
      <w:pPr>
        <w:spacing w:line="287" w:lineRule="exact"/>
        <w:jc w:val="both"/>
      </w:pPr>
      <w:r>
        <w:tab/>
      </w:r>
      <w:r>
        <w:tab/>
        <w:t xml:space="preserve">UFACVG : 50 € </w:t>
      </w:r>
    </w:p>
    <w:p w:rsidR="00506A97" w:rsidRDefault="00506A97" w:rsidP="00506A97">
      <w:pPr>
        <w:spacing w:line="287" w:lineRule="exact"/>
        <w:jc w:val="both"/>
      </w:pPr>
    </w:p>
    <w:p w:rsidR="00506A97" w:rsidRDefault="00506A97" w:rsidP="00506A97">
      <w:pPr>
        <w:ind w:firstLine="708"/>
        <w:jc w:val="both"/>
      </w:pPr>
      <w:r>
        <w:tab/>
      </w:r>
      <w:r w:rsidRPr="00B874E3">
        <w:rPr>
          <w:b/>
          <w:u w:val="single"/>
        </w:rPr>
        <w:t>Aide de l’état pour les communes sinistrées suite au séisme du 11 Novembre</w:t>
      </w:r>
      <w:r>
        <w:t xml:space="preserve"> : </w:t>
      </w:r>
      <w:r w:rsidRPr="00671C67">
        <w:t xml:space="preserve">Le Territoire de la Communauté de Communes Ardèche Rhône </w:t>
      </w:r>
      <w:proofErr w:type="spellStart"/>
      <w:r w:rsidRPr="00671C67">
        <w:t>Coiron</w:t>
      </w:r>
      <w:proofErr w:type="spellEnd"/>
      <w:r w:rsidRPr="00671C67">
        <w:t xml:space="preserve"> a subi le 11 novembre 2019 un séisme de magnitude 5.4 sur l’échelle de Richter qui a engendré des dégâts importants sur les bâtiments publics et privés.</w:t>
      </w:r>
    </w:p>
    <w:p w:rsidR="00506A97" w:rsidRDefault="00506A97" w:rsidP="00506A97">
      <w:pPr>
        <w:ind w:firstLine="708"/>
        <w:jc w:val="both"/>
      </w:pPr>
      <w:r w:rsidRPr="00671C67">
        <w:t xml:space="preserve">Sur le parc de logements privés plus de 3800 sinistrés se sont déclarés dont environ 74% sur la commune de Le Teil. Environ 650 arrêtés (90% sur la commune de Le Teil) ont été pris par les </w:t>
      </w:r>
      <w:r>
        <w:t>M</w:t>
      </w:r>
      <w:r w:rsidRPr="00671C67">
        <w:t>aires des communes concernées afin de permettre l’évacuation des familles des immeubles ayant subi les désordres les plus importants et dans un souci de mise en sécurité des personnes. Plus de 1600 personnes ont été relogées avec la mise en place d’une cellule de relogement qui dans l’urgence a permis le relogement de plus de 400 personnes.</w:t>
      </w:r>
    </w:p>
    <w:p w:rsidR="00506A97" w:rsidRPr="00671C67" w:rsidRDefault="00506A97" w:rsidP="00506A97">
      <w:pPr>
        <w:ind w:firstLine="708"/>
        <w:jc w:val="both"/>
      </w:pPr>
      <w:r w:rsidRPr="00671C67">
        <w:t>Au-delà des dégâts sur l’habitat privé, l’activité économique locale a été impactée avec la fermetur</w:t>
      </w:r>
      <w:r>
        <w:t>e d’environ 10 commerces en rez-de-</w:t>
      </w:r>
      <w:r w:rsidRPr="00671C67">
        <w:t>chaussée d’immeubles évacués dans le centre bourg de la commune de Le Teil, qui a nécessité là encore une mobilisation et la mise en œuvre d’une cellule commerce pour répondre aux demandes des commerçants sinistrés.</w:t>
      </w:r>
    </w:p>
    <w:p w:rsidR="00506A97" w:rsidRPr="00671C67" w:rsidRDefault="00506A97" w:rsidP="00506A97">
      <w:pPr>
        <w:jc w:val="both"/>
      </w:pPr>
      <w:r w:rsidRPr="00671C67">
        <w:t>Ce sont également plus de 60 bâtiments publics qui ont été sinistrés avec des désordres plus ou moins importants (Ecoles, Mairie, Centre des Finances, Eglise, crèche</w:t>
      </w:r>
      <w:r>
        <w:t>, Médiathèque/bibliothèque</w:t>
      </w:r>
      <w:r w:rsidRPr="00671C67">
        <w:t>, Centre social, centre de loisirs).</w:t>
      </w:r>
    </w:p>
    <w:p w:rsidR="00506A97" w:rsidRPr="00671C67" w:rsidRDefault="00506A97" w:rsidP="00506A97">
      <w:pPr>
        <w:ind w:firstLine="708"/>
        <w:jc w:val="both"/>
      </w:pPr>
      <w:r>
        <w:t>La situation n’</w:t>
      </w:r>
      <w:r w:rsidRPr="00671C67">
        <w:t>est à ce jour pas totalement fixée et de nouveaux dégâts se font jour dans de nombreuses communes de l’intercommunalité.</w:t>
      </w:r>
    </w:p>
    <w:p w:rsidR="00506A97" w:rsidRDefault="00506A97" w:rsidP="00506A97">
      <w:pPr>
        <w:jc w:val="both"/>
      </w:pPr>
    </w:p>
    <w:p w:rsidR="00506A97" w:rsidRDefault="00506A97" w:rsidP="00506A97">
      <w:pPr>
        <w:jc w:val="both"/>
      </w:pPr>
    </w:p>
    <w:p w:rsidR="00506A97" w:rsidRDefault="00506A97" w:rsidP="00506A97">
      <w:pPr>
        <w:ind w:firstLine="708"/>
        <w:jc w:val="both"/>
      </w:pPr>
    </w:p>
    <w:p w:rsidR="00506A97" w:rsidRPr="00671C67" w:rsidRDefault="00506A97" w:rsidP="00506A97">
      <w:pPr>
        <w:ind w:firstLine="708"/>
        <w:jc w:val="both"/>
      </w:pPr>
      <w:r>
        <w:t>Les Communes de la Communauté de C</w:t>
      </w:r>
      <w:r w:rsidRPr="00671C67">
        <w:t xml:space="preserve">ommunes Ardèche Rhône </w:t>
      </w:r>
      <w:proofErr w:type="spellStart"/>
      <w:r w:rsidRPr="00671C67">
        <w:t>Coiron</w:t>
      </w:r>
      <w:proofErr w:type="spellEnd"/>
      <w:r w:rsidRPr="00671C67">
        <w:t xml:space="preserve"> au travers de leurs élus, agents, associations, se sont fortement mobilisées face à cette catastrophe et pour faire face à l’urgence.</w:t>
      </w:r>
    </w:p>
    <w:p w:rsidR="00506A97" w:rsidRDefault="00506A97" w:rsidP="00506A97">
      <w:pPr>
        <w:ind w:firstLine="708"/>
        <w:jc w:val="both"/>
      </w:pPr>
      <w:r w:rsidRPr="00671C67">
        <w:t>Cependant, passée l’urgence et le bilan de cette catastrophe, des moyens financiers importants devront être mobilisés pour indemniser l’ensemble des sinistrés et accompagner les collectivités impactées (communes et EPCI) à court terme dans le cadre de travaux de confortement susceptibles de permettre la réouverture d’un maximum de services aux publics indispensables et à moyen et long terme dans une démarche de reconstruction et de réaménagement de quartiers.</w:t>
      </w:r>
    </w:p>
    <w:p w:rsidR="00506A97" w:rsidRPr="00671C67" w:rsidRDefault="00506A97" w:rsidP="00506A97">
      <w:pPr>
        <w:ind w:firstLine="708"/>
        <w:jc w:val="both"/>
      </w:pPr>
      <w:r w:rsidRPr="00671C67">
        <w:t xml:space="preserve">Il est indéniable que le territoire d’Ardèche Rhône </w:t>
      </w:r>
      <w:proofErr w:type="spellStart"/>
      <w:r w:rsidRPr="00671C67">
        <w:t>Coiron</w:t>
      </w:r>
      <w:proofErr w:type="spellEnd"/>
      <w:r w:rsidRPr="00671C67">
        <w:t xml:space="preserve"> va prendre un nouveau visage suite à ce séisme et cela va nécessiter la révision des politiques publiques et des projets mis en œuvre jusqu’ici. Au vu de l’ampleur des dégâts, il est évident que le territoire ne sera pas en capacité de faire face et il est nécessaire que l’Etat mobilise les enveloppes financières nécessaires à cette reconstruction.</w:t>
      </w:r>
    </w:p>
    <w:p w:rsidR="00506A97" w:rsidRPr="00671C67" w:rsidRDefault="00506A97" w:rsidP="00506A97">
      <w:pPr>
        <w:ind w:firstLine="708"/>
        <w:jc w:val="both"/>
      </w:pPr>
      <w:r w:rsidRPr="00671C67">
        <w:t>Dans ce contexte les élus du territoire se mobilisent pour solliciter par la présente délibération l’Etat en vue du déblocage des enveloppes financières nécessaires à cette reconstruction.</w:t>
      </w:r>
    </w:p>
    <w:p w:rsidR="00506A97" w:rsidRDefault="00506A97" w:rsidP="00506A97">
      <w:pPr>
        <w:pStyle w:val="Sansinterligne"/>
        <w:ind w:firstLine="708"/>
        <w:rPr>
          <w:rFonts w:ascii="Times New Roman" w:hAnsi="Times New Roman"/>
          <w:sz w:val="24"/>
          <w:szCs w:val="24"/>
        </w:rPr>
      </w:pPr>
      <w:r w:rsidRPr="00671C67">
        <w:rPr>
          <w:rFonts w:ascii="Times New Roman" w:hAnsi="Times New Roman"/>
          <w:sz w:val="24"/>
          <w:szCs w:val="24"/>
        </w:rPr>
        <w:t xml:space="preserve">Le Conseil Municipal, </w:t>
      </w:r>
      <w:r>
        <w:rPr>
          <w:rFonts w:ascii="Times New Roman" w:hAnsi="Times New Roman"/>
          <w:sz w:val="24"/>
          <w:szCs w:val="24"/>
        </w:rPr>
        <w:t>a</w:t>
      </w:r>
      <w:r w:rsidRPr="00671C67">
        <w:rPr>
          <w:rFonts w:ascii="Times New Roman" w:hAnsi="Times New Roman"/>
          <w:sz w:val="24"/>
          <w:szCs w:val="24"/>
        </w:rPr>
        <w:t>près en avoir délibéré,</w:t>
      </w:r>
      <w:r>
        <w:rPr>
          <w:rFonts w:ascii="Times New Roman" w:hAnsi="Times New Roman"/>
          <w:sz w:val="24"/>
          <w:szCs w:val="24"/>
        </w:rPr>
        <w:t xml:space="preserve"> à l’unanimité,</w:t>
      </w:r>
    </w:p>
    <w:p w:rsidR="00506A97" w:rsidRPr="00671C67" w:rsidRDefault="00506A97" w:rsidP="00506A97">
      <w:pPr>
        <w:jc w:val="both"/>
      </w:pPr>
      <w:r w:rsidRPr="00671C67">
        <w:rPr>
          <w:bCs/>
        </w:rPr>
        <w:t>DEMANDE</w:t>
      </w:r>
      <w:r w:rsidRPr="00671C67">
        <w:t xml:space="preserve"> à l’Etat de mobiliser les enveloppes financières nécessaires à la reconstruction suite au séisme du 11 novembre 2019 ayant fortement impacté le territoire de la Communauté de Communes Ardèche Rhône </w:t>
      </w:r>
      <w:proofErr w:type="spellStart"/>
      <w:r w:rsidRPr="00671C67">
        <w:t>Coiron</w:t>
      </w:r>
      <w:proofErr w:type="spellEnd"/>
      <w:r w:rsidRPr="00671C67">
        <w:t>.</w:t>
      </w:r>
    </w:p>
    <w:p w:rsidR="00506A97" w:rsidRDefault="00506A97" w:rsidP="00506A97">
      <w:pPr>
        <w:spacing w:line="287" w:lineRule="exact"/>
        <w:jc w:val="both"/>
      </w:pPr>
      <w:r w:rsidRPr="00671C67">
        <w:rPr>
          <w:rFonts w:eastAsia="Calibri"/>
        </w:rPr>
        <w:t>DONNE POUVOIR</w:t>
      </w:r>
      <w:r>
        <w:rPr>
          <w:rFonts w:eastAsia="Calibri"/>
        </w:rPr>
        <w:t xml:space="preserve"> à Madame le Maire</w:t>
      </w:r>
      <w:r w:rsidRPr="00671C67">
        <w:rPr>
          <w:rFonts w:eastAsia="Calibri"/>
        </w:rPr>
        <w:t xml:space="preserve"> pour toutes les démarches et signature nécessaire à l’exécution de la présente délibération</w:t>
      </w:r>
    </w:p>
    <w:p w:rsidR="00735C6C" w:rsidRDefault="00735C6C" w:rsidP="00735C6C">
      <w:pPr>
        <w:spacing w:line="287" w:lineRule="exact"/>
        <w:jc w:val="both"/>
        <w:rPr>
          <w:bCs/>
        </w:rPr>
      </w:pPr>
    </w:p>
    <w:p w:rsidR="00735C6C" w:rsidRDefault="00506A97" w:rsidP="00735C6C">
      <w:pPr>
        <w:spacing w:line="287" w:lineRule="exact"/>
        <w:jc w:val="both"/>
        <w:rPr>
          <w:bCs/>
        </w:rPr>
      </w:pPr>
      <w:r>
        <w:rPr>
          <w:bCs/>
        </w:rPr>
        <w:t>La commune de Saint Symphorien sous Chomérac a déposé une demande de reconnaissance de l’Etat de Catastrophe naturelle pour le séisme du 11 Novembre, 17 personnes ayant signalées</w:t>
      </w:r>
    </w:p>
    <w:p w:rsidR="00506A97" w:rsidRDefault="00506A97" w:rsidP="00735C6C">
      <w:pPr>
        <w:spacing w:line="287" w:lineRule="exact"/>
        <w:jc w:val="both"/>
        <w:rPr>
          <w:bCs/>
        </w:rPr>
      </w:pPr>
      <w:proofErr w:type="gramStart"/>
      <w:r>
        <w:rPr>
          <w:bCs/>
        </w:rPr>
        <w:t>en</w:t>
      </w:r>
      <w:proofErr w:type="gramEnd"/>
      <w:r>
        <w:rPr>
          <w:bCs/>
        </w:rPr>
        <w:t xml:space="preserve"> Mairie des fissures sur leur habitation.</w:t>
      </w:r>
    </w:p>
    <w:p w:rsidR="00506A97" w:rsidRDefault="00506A97" w:rsidP="00735C6C">
      <w:pPr>
        <w:spacing w:line="287" w:lineRule="exact"/>
        <w:jc w:val="both"/>
        <w:rPr>
          <w:bCs/>
        </w:rPr>
      </w:pPr>
    </w:p>
    <w:p w:rsidR="00506A97" w:rsidRPr="00506A97" w:rsidRDefault="00506A97" w:rsidP="00506A97">
      <w:pPr>
        <w:spacing w:line="287" w:lineRule="exact"/>
        <w:jc w:val="both"/>
        <w:rPr>
          <w:b/>
          <w:bCs/>
          <w:szCs w:val="20"/>
        </w:rPr>
      </w:pPr>
      <w:r>
        <w:rPr>
          <w:bCs/>
        </w:rPr>
        <w:tab/>
      </w:r>
      <w:r w:rsidRPr="00B874E3">
        <w:rPr>
          <w:b/>
          <w:bCs/>
          <w:u w:val="single"/>
        </w:rPr>
        <w:t>Engagement des dépenses d’investissement avant vote du budget 2020</w:t>
      </w:r>
      <w:r>
        <w:rPr>
          <w:bCs/>
        </w:rPr>
        <w:t xml:space="preserve"> : </w:t>
      </w:r>
    </w:p>
    <w:p w:rsidR="00506A97" w:rsidRPr="00506A97" w:rsidRDefault="00506A97" w:rsidP="00506A97">
      <w:pPr>
        <w:overflowPunct w:val="0"/>
        <w:autoSpaceDE w:val="0"/>
        <w:autoSpaceDN w:val="0"/>
        <w:adjustRightInd w:val="0"/>
        <w:spacing w:line="287" w:lineRule="exact"/>
        <w:jc w:val="both"/>
        <w:rPr>
          <w:bCs/>
          <w:szCs w:val="20"/>
        </w:rPr>
      </w:pPr>
      <w:r w:rsidRPr="00506A97">
        <w:rPr>
          <w:b/>
          <w:bCs/>
          <w:szCs w:val="20"/>
        </w:rPr>
        <w:tab/>
      </w:r>
      <w:r w:rsidRPr="00506A97">
        <w:rPr>
          <w:bCs/>
          <w:szCs w:val="20"/>
        </w:rPr>
        <w:t>Madame le Maire rappelle les dispositions de l’article L1612.1 du Code Général des Collectivités Territoriales qui prévoit la possibilité, pour l’exécutif d’une collectivité, d’engager liquider et mandater les dépenses d’investissement, jusqu’à l’adoption du budget de l’exercice précédent, non compris les crédits afférents au remboursement de la dette.</w:t>
      </w:r>
    </w:p>
    <w:p w:rsidR="00506A97" w:rsidRPr="00506A97" w:rsidRDefault="00506A97" w:rsidP="00506A97">
      <w:pPr>
        <w:overflowPunct w:val="0"/>
        <w:autoSpaceDE w:val="0"/>
        <w:autoSpaceDN w:val="0"/>
        <w:adjustRightInd w:val="0"/>
        <w:spacing w:line="287" w:lineRule="exact"/>
        <w:jc w:val="both"/>
        <w:rPr>
          <w:bCs/>
          <w:szCs w:val="20"/>
        </w:rPr>
      </w:pPr>
    </w:p>
    <w:p w:rsidR="00506A97" w:rsidRPr="00506A97" w:rsidRDefault="00506A97" w:rsidP="00506A97">
      <w:pPr>
        <w:overflowPunct w:val="0"/>
        <w:autoSpaceDE w:val="0"/>
        <w:autoSpaceDN w:val="0"/>
        <w:adjustRightInd w:val="0"/>
        <w:spacing w:line="287" w:lineRule="exact"/>
        <w:jc w:val="both"/>
        <w:rPr>
          <w:bCs/>
          <w:szCs w:val="20"/>
        </w:rPr>
      </w:pPr>
      <w:r w:rsidRPr="00506A97">
        <w:rPr>
          <w:bCs/>
          <w:szCs w:val="20"/>
        </w:rPr>
        <w:tab/>
        <w:t xml:space="preserve">Afin de permettre à la collectivité de procéder à une continuité de paiement dès le début de l’année 2020, Madame le Maire propose d’approuver les ouvertures anticipées des crédits d’investissement listés ci-dessous : </w:t>
      </w:r>
    </w:p>
    <w:p w:rsidR="00506A97" w:rsidRPr="00506A97" w:rsidRDefault="00506A97" w:rsidP="00506A97">
      <w:pPr>
        <w:overflowPunct w:val="0"/>
        <w:autoSpaceDE w:val="0"/>
        <w:autoSpaceDN w:val="0"/>
        <w:adjustRightInd w:val="0"/>
        <w:spacing w:line="287" w:lineRule="exact"/>
        <w:jc w:val="both"/>
        <w:rPr>
          <w:bCs/>
          <w:szCs w:val="20"/>
        </w:rPr>
      </w:pPr>
    </w:p>
    <w:p w:rsidR="00506A97" w:rsidRDefault="00506A97" w:rsidP="00506A97">
      <w:pPr>
        <w:overflowPunct w:val="0"/>
        <w:autoSpaceDE w:val="0"/>
        <w:autoSpaceDN w:val="0"/>
        <w:adjustRightInd w:val="0"/>
        <w:spacing w:line="287" w:lineRule="exact"/>
        <w:jc w:val="both"/>
        <w:rPr>
          <w:bCs/>
          <w:szCs w:val="20"/>
        </w:rPr>
      </w:pPr>
    </w:p>
    <w:p w:rsidR="00506A97" w:rsidRDefault="00506A97" w:rsidP="00506A97">
      <w:pPr>
        <w:overflowPunct w:val="0"/>
        <w:autoSpaceDE w:val="0"/>
        <w:autoSpaceDN w:val="0"/>
        <w:adjustRightInd w:val="0"/>
        <w:spacing w:line="287" w:lineRule="exact"/>
        <w:jc w:val="both"/>
        <w:rPr>
          <w:bCs/>
          <w:szCs w:val="20"/>
        </w:rPr>
      </w:pPr>
    </w:p>
    <w:p w:rsidR="00506A97" w:rsidRDefault="00506A97" w:rsidP="00506A97">
      <w:pPr>
        <w:overflowPunct w:val="0"/>
        <w:autoSpaceDE w:val="0"/>
        <w:autoSpaceDN w:val="0"/>
        <w:adjustRightInd w:val="0"/>
        <w:spacing w:line="287" w:lineRule="exact"/>
        <w:jc w:val="both"/>
        <w:rPr>
          <w:bCs/>
          <w:szCs w:val="20"/>
        </w:rPr>
      </w:pPr>
    </w:p>
    <w:p w:rsidR="00506A97" w:rsidRDefault="00506A97" w:rsidP="00506A97">
      <w:pPr>
        <w:overflowPunct w:val="0"/>
        <w:autoSpaceDE w:val="0"/>
        <w:autoSpaceDN w:val="0"/>
        <w:adjustRightInd w:val="0"/>
        <w:spacing w:line="287" w:lineRule="exact"/>
        <w:jc w:val="both"/>
        <w:rPr>
          <w:bCs/>
          <w:szCs w:val="20"/>
        </w:rPr>
      </w:pPr>
    </w:p>
    <w:p w:rsidR="00506A97" w:rsidRPr="00506A97" w:rsidRDefault="00506A97" w:rsidP="00506A97">
      <w:pPr>
        <w:overflowPunct w:val="0"/>
        <w:autoSpaceDE w:val="0"/>
        <w:autoSpaceDN w:val="0"/>
        <w:adjustRightInd w:val="0"/>
        <w:spacing w:line="287" w:lineRule="exact"/>
        <w:jc w:val="both"/>
        <w:rPr>
          <w:bCs/>
          <w:szCs w:val="20"/>
        </w:rPr>
      </w:pPr>
    </w:p>
    <w:p w:rsidR="00506A97" w:rsidRPr="00506A97" w:rsidRDefault="00506A97" w:rsidP="00506A97">
      <w:pPr>
        <w:overflowPunct w:val="0"/>
        <w:autoSpaceDE w:val="0"/>
        <w:autoSpaceDN w:val="0"/>
        <w:adjustRightInd w:val="0"/>
        <w:spacing w:line="287" w:lineRule="exact"/>
        <w:jc w:val="both"/>
        <w:rPr>
          <w:bCs/>
          <w:szCs w:val="20"/>
        </w:rPr>
      </w:pPr>
    </w:p>
    <w:p w:rsidR="00506A97" w:rsidRPr="00506A97" w:rsidRDefault="00506A97" w:rsidP="00506A97">
      <w:pPr>
        <w:overflowPunct w:val="0"/>
        <w:autoSpaceDE w:val="0"/>
        <w:autoSpaceDN w:val="0"/>
        <w:adjustRightInd w:val="0"/>
        <w:spacing w:line="287" w:lineRule="exact"/>
        <w:jc w:val="both"/>
        <w:rPr>
          <w:bCs/>
          <w:szCs w:val="20"/>
        </w:rPr>
      </w:pPr>
    </w:p>
    <w:p w:rsidR="00506A97" w:rsidRPr="00506A97" w:rsidRDefault="00506A97" w:rsidP="00506A97">
      <w:pPr>
        <w:overflowPunct w:val="0"/>
        <w:autoSpaceDE w:val="0"/>
        <w:autoSpaceDN w:val="0"/>
        <w:adjustRightInd w:val="0"/>
        <w:spacing w:line="287" w:lineRule="exact"/>
        <w:jc w:val="both"/>
        <w:rPr>
          <w:bCs/>
          <w:szCs w:val="20"/>
        </w:rPr>
      </w:pPr>
    </w:p>
    <w:p w:rsidR="00506A97" w:rsidRPr="00506A97" w:rsidRDefault="00506A97" w:rsidP="00506A97">
      <w:pPr>
        <w:overflowPunct w:val="0"/>
        <w:autoSpaceDE w:val="0"/>
        <w:autoSpaceDN w:val="0"/>
        <w:adjustRightInd w:val="0"/>
        <w:spacing w:line="287" w:lineRule="exact"/>
        <w:jc w:val="both"/>
        <w:rPr>
          <w:bCs/>
          <w:szCs w:val="20"/>
        </w:rPr>
      </w:pPr>
    </w:p>
    <w:p w:rsidR="00506A97" w:rsidRPr="00506A97" w:rsidRDefault="00506A97" w:rsidP="00506A97">
      <w:pPr>
        <w:overflowPunct w:val="0"/>
        <w:autoSpaceDE w:val="0"/>
        <w:autoSpaceDN w:val="0"/>
        <w:adjustRightInd w:val="0"/>
        <w:spacing w:line="287" w:lineRule="exact"/>
        <w:jc w:val="both"/>
        <w:rPr>
          <w:bCs/>
          <w:szCs w:val="20"/>
        </w:rPr>
      </w:pPr>
    </w:p>
    <w:p w:rsidR="00506A97" w:rsidRPr="00506A97" w:rsidRDefault="00506A97" w:rsidP="00506A97">
      <w:pPr>
        <w:overflowPunct w:val="0"/>
        <w:autoSpaceDE w:val="0"/>
        <w:autoSpaceDN w:val="0"/>
        <w:adjustRightInd w:val="0"/>
        <w:spacing w:line="287" w:lineRule="exact"/>
        <w:jc w:val="both"/>
        <w:rPr>
          <w:bCs/>
          <w:szCs w:val="20"/>
        </w:rPr>
      </w:pPr>
    </w:p>
    <w:p w:rsidR="00506A97" w:rsidRPr="00506A97" w:rsidRDefault="00506A97" w:rsidP="00506A97">
      <w:pPr>
        <w:overflowPunct w:val="0"/>
        <w:autoSpaceDE w:val="0"/>
        <w:autoSpaceDN w:val="0"/>
        <w:adjustRightInd w:val="0"/>
        <w:spacing w:line="287" w:lineRule="exact"/>
        <w:jc w:val="both"/>
        <w:rPr>
          <w:bCs/>
          <w:szCs w:val="20"/>
        </w:rPr>
      </w:pPr>
    </w:p>
    <w:p w:rsidR="00506A97" w:rsidRPr="00506A97" w:rsidRDefault="00506A97" w:rsidP="00506A97">
      <w:pPr>
        <w:overflowPunct w:val="0"/>
        <w:autoSpaceDE w:val="0"/>
        <w:autoSpaceDN w:val="0"/>
        <w:adjustRightInd w:val="0"/>
        <w:spacing w:line="287" w:lineRule="exact"/>
        <w:jc w:val="both"/>
        <w:rPr>
          <w:bCs/>
          <w:szCs w:val="20"/>
          <w:u w:val="single"/>
        </w:rPr>
      </w:pPr>
      <w:r w:rsidRPr="00506A97">
        <w:rPr>
          <w:bCs/>
          <w:szCs w:val="20"/>
          <w:u w:val="single"/>
        </w:rPr>
        <w:t>Budget Commune</w:t>
      </w:r>
    </w:p>
    <w:p w:rsidR="00506A97" w:rsidRPr="00506A97" w:rsidRDefault="00506A97" w:rsidP="00506A97">
      <w:pPr>
        <w:overflowPunct w:val="0"/>
        <w:autoSpaceDE w:val="0"/>
        <w:autoSpaceDN w:val="0"/>
        <w:adjustRightInd w:val="0"/>
        <w:spacing w:line="287" w:lineRule="exact"/>
        <w:jc w:val="both"/>
        <w:rPr>
          <w:bCs/>
          <w:szCs w:val="20"/>
          <w:u w:val="single"/>
        </w:rPr>
      </w:pPr>
    </w:p>
    <w:tbl>
      <w:tblPr>
        <w:tblStyle w:val="Grilledutableau"/>
        <w:tblW w:w="8359" w:type="dxa"/>
        <w:tblInd w:w="0" w:type="dxa"/>
        <w:tblLook w:val="04A0" w:firstRow="1" w:lastRow="0" w:firstColumn="1" w:lastColumn="0" w:noHBand="0" w:noVBand="1"/>
      </w:tblPr>
      <w:tblGrid>
        <w:gridCol w:w="4815"/>
        <w:gridCol w:w="1843"/>
        <w:gridCol w:w="1701"/>
      </w:tblGrid>
      <w:tr w:rsidR="00506A97" w:rsidRPr="00506A97" w:rsidTr="002D0312">
        <w:tc>
          <w:tcPr>
            <w:tcW w:w="4815" w:type="dxa"/>
            <w:tcBorders>
              <w:top w:val="single" w:sz="4" w:space="0" w:color="auto"/>
              <w:left w:val="single" w:sz="4" w:space="0" w:color="auto"/>
              <w:bottom w:val="single" w:sz="4" w:space="0" w:color="auto"/>
              <w:right w:val="single" w:sz="4" w:space="0" w:color="auto"/>
            </w:tcBorders>
          </w:tcPr>
          <w:p w:rsidR="00506A97" w:rsidRPr="00506A97" w:rsidRDefault="00506A97" w:rsidP="00506A97">
            <w:pPr>
              <w:overflowPunct w:val="0"/>
              <w:autoSpaceDE w:val="0"/>
              <w:autoSpaceDN w:val="0"/>
              <w:adjustRightInd w:val="0"/>
              <w:spacing w:line="287" w:lineRule="exact"/>
              <w:jc w:val="both"/>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center"/>
              <w:rPr>
                <w:lang w:eastAsia="en-US"/>
              </w:rPr>
            </w:pPr>
            <w:r w:rsidRPr="00506A97">
              <w:rPr>
                <w:lang w:eastAsia="en-US"/>
              </w:rPr>
              <w:t>Montant inscrit au BP 2019</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center"/>
              <w:rPr>
                <w:lang w:eastAsia="en-US"/>
              </w:rPr>
            </w:pPr>
            <w:r w:rsidRPr="00506A97">
              <w:rPr>
                <w:lang w:eastAsia="en-US"/>
              </w:rPr>
              <w:t>Ouverture anticipée 25 %</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b/>
                <w:lang w:eastAsia="en-US"/>
              </w:rPr>
            </w:pPr>
            <w:r w:rsidRPr="00506A97">
              <w:rPr>
                <w:b/>
                <w:lang w:eastAsia="en-US"/>
              </w:rPr>
              <w:t>Chapitre 20 : Immobilisations Incorporelles</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b/>
                <w:lang w:eastAsia="en-US"/>
              </w:rPr>
            </w:pPr>
            <w:r w:rsidRPr="00506A97">
              <w:rPr>
                <w:b/>
                <w:lang w:eastAsia="en-US"/>
              </w:rPr>
              <w:t>42 400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b/>
                <w:lang w:eastAsia="en-US"/>
              </w:rPr>
            </w:pPr>
            <w:r w:rsidRPr="00506A97">
              <w:rPr>
                <w:b/>
                <w:lang w:eastAsia="en-US"/>
              </w:rPr>
              <w:t>10 600</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202</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25 000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6 250</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2031</w:t>
            </w:r>
          </w:p>
        </w:tc>
        <w:tc>
          <w:tcPr>
            <w:tcW w:w="1843" w:type="dxa"/>
            <w:tcBorders>
              <w:top w:val="single" w:sz="4" w:space="0" w:color="auto"/>
              <w:left w:val="single" w:sz="4" w:space="0" w:color="auto"/>
              <w:bottom w:val="single" w:sz="4" w:space="0" w:color="auto"/>
              <w:right w:val="single" w:sz="4" w:space="0" w:color="auto"/>
            </w:tcBorders>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6 700</w:t>
            </w:r>
          </w:p>
        </w:tc>
        <w:tc>
          <w:tcPr>
            <w:tcW w:w="1701" w:type="dxa"/>
            <w:tcBorders>
              <w:top w:val="single" w:sz="4" w:space="0" w:color="auto"/>
              <w:left w:val="single" w:sz="4" w:space="0" w:color="auto"/>
              <w:bottom w:val="single" w:sz="4" w:space="0" w:color="auto"/>
              <w:right w:val="single" w:sz="4" w:space="0" w:color="auto"/>
            </w:tcBorders>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1 675</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tcPr>
          <w:p w:rsidR="00506A97" w:rsidRPr="00506A97" w:rsidRDefault="00506A97" w:rsidP="00506A97">
            <w:pPr>
              <w:overflowPunct w:val="0"/>
              <w:autoSpaceDE w:val="0"/>
              <w:autoSpaceDN w:val="0"/>
              <w:adjustRightInd w:val="0"/>
              <w:spacing w:line="287" w:lineRule="exact"/>
              <w:jc w:val="both"/>
              <w:rPr>
                <w:b/>
                <w:lang w:eastAsia="en-US"/>
              </w:rPr>
            </w:pPr>
            <w:r w:rsidRPr="00506A97">
              <w:rPr>
                <w:lang w:eastAsia="en-US"/>
              </w:rPr>
              <w:t>2041582</w:t>
            </w:r>
            <w:r w:rsidRPr="00506A97">
              <w:rPr>
                <w:b/>
                <w:lang w:eastAsia="en-US"/>
              </w:rPr>
              <w:t> </w:t>
            </w:r>
          </w:p>
        </w:tc>
        <w:tc>
          <w:tcPr>
            <w:tcW w:w="1843" w:type="dxa"/>
            <w:tcBorders>
              <w:top w:val="single" w:sz="4" w:space="0" w:color="auto"/>
              <w:left w:val="single" w:sz="4" w:space="0" w:color="auto"/>
              <w:bottom w:val="single" w:sz="4" w:space="0" w:color="auto"/>
              <w:right w:val="single" w:sz="4" w:space="0" w:color="auto"/>
            </w:tcBorders>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10 700</w:t>
            </w:r>
          </w:p>
        </w:tc>
        <w:tc>
          <w:tcPr>
            <w:tcW w:w="1701" w:type="dxa"/>
            <w:tcBorders>
              <w:top w:val="single" w:sz="4" w:space="0" w:color="auto"/>
              <w:left w:val="single" w:sz="4" w:space="0" w:color="auto"/>
              <w:bottom w:val="single" w:sz="4" w:space="0" w:color="auto"/>
              <w:right w:val="single" w:sz="4" w:space="0" w:color="auto"/>
            </w:tcBorders>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2 675</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b/>
                <w:lang w:eastAsia="en-US"/>
              </w:rPr>
            </w:pPr>
            <w:r w:rsidRPr="00506A97">
              <w:rPr>
                <w:b/>
                <w:lang w:eastAsia="en-US"/>
              </w:rPr>
              <w:t>Chapitre 21 : Immobilisations Corporelles</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b/>
                <w:lang w:eastAsia="en-US"/>
              </w:rPr>
            </w:pPr>
            <w:r w:rsidRPr="00506A97">
              <w:rPr>
                <w:b/>
                <w:lang w:eastAsia="en-US"/>
              </w:rPr>
              <w:t>152 753,23</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b/>
                <w:lang w:eastAsia="en-US"/>
              </w:rPr>
            </w:pPr>
            <w:r w:rsidRPr="00506A97">
              <w:rPr>
                <w:b/>
                <w:lang w:eastAsia="en-US"/>
              </w:rPr>
              <w:t>38 188,23</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2112</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5 000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1 250</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bookmarkStart w:id="1" w:name="_GoBack"/>
            <w:r w:rsidRPr="00506A97">
              <w:rPr>
                <w:lang w:eastAsia="en-US"/>
              </w:rPr>
              <w:t>21311</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4 000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1 000</w:t>
            </w:r>
          </w:p>
        </w:tc>
      </w:tr>
      <w:bookmarkEnd w:id="1"/>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21312</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 xml:space="preserve"> 800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 xml:space="preserve"> 200</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21318</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10 000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2 500</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2151</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93 453,23</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23 363,31</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2152</w:t>
            </w:r>
          </w:p>
        </w:tc>
        <w:tc>
          <w:tcPr>
            <w:tcW w:w="1843" w:type="dxa"/>
            <w:tcBorders>
              <w:top w:val="single" w:sz="4" w:space="0" w:color="auto"/>
              <w:left w:val="single" w:sz="4" w:space="0" w:color="auto"/>
              <w:bottom w:val="single" w:sz="4" w:space="0" w:color="auto"/>
              <w:right w:val="single" w:sz="4" w:space="0" w:color="auto"/>
            </w:tcBorders>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3 500</w:t>
            </w:r>
          </w:p>
        </w:tc>
        <w:tc>
          <w:tcPr>
            <w:tcW w:w="1701" w:type="dxa"/>
            <w:tcBorders>
              <w:top w:val="single" w:sz="4" w:space="0" w:color="auto"/>
              <w:left w:val="single" w:sz="4" w:space="0" w:color="auto"/>
              <w:bottom w:val="single" w:sz="4" w:space="0" w:color="auto"/>
              <w:right w:val="single" w:sz="4" w:space="0" w:color="auto"/>
            </w:tcBorders>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875</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21534</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1 000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 xml:space="preserve"> 250</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21538</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5 000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1 250</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21578</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9 000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2 250</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2184</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21 000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5 250</w:t>
            </w:r>
          </w:p>
        </w:tc>
      </w:tr>
    </w:tbl>
    <w:p w:rsidR="00506A97" w:rsidRPr="00506A97" w:rsidRDefault="00506A97" w:rsidP="00506A97">
      <w:pPr>
        <w:overflowPunct w:val="0"/>
        <w:autoSpaceDE w:val="0"/>
        <w:autoSpaceDN w:val="0"/>
        <w:adjustRightInd w:val="0"/>
        <w:spacing w:line="287" w:lineRule="exact"/>
        <w:jc w:val="both"/>
      </w:pPr>
    </w:p>
    <w:p w:rsidR="00506A97" w:rsidRPr="00506A97" w:rsidRDefault="00506A97" w:rsidP="00506A97">
      <w:pPr>
        <w:overflowPunct w:val="0"/>
        <w:autoSpaceDE w:val="0"/>
        <w:autoSpaceDN w:val="0"/>
        <w:adjustRightInd w:val="0"/>
        <w:spacing w:line="287" w:lineRule="exact"/>
        <w:jc w:val="both"/>
        <w:rPr>
          <w:u w:val="single"/>
        </w:rPr>
      </w:pPr>
      <w:r w:rsidRPr="00506A97">
        <w:rPr>
          <w:u w:val="single"/>
        </w:rPr>
        <w:t>Budget Assainissement</w:t>
      </w:r>
    </w:p>
    <w:p w:rsidR="00506A97" w:rsidRPr="00506A97" w:rsidRDefault="00506A97" w:rsidP="00506A97">
      <w:pPr>
        <w:overflowPunct w:val="0"/>
        <w:autoSpaceDE w:val="0"/>
        <w:autoSpaceDN w:val="0"/>
        <w:adjustRightInd w:val="0"/>
        <w:spacing w:line="287" w:lineRule="exact"/>
        <w:jc w:val="both"/>
        <w:rPr>
          <w:u w:val="single"/>
        </w:rPr>
      </w:pPr>
    </w:p>
    <w:tbl>
      <w:tblPr>
        <w:tblStyle w:val="Grilledutableau"/>
        <w:tblW w:w="8359" w:type="dxa"/>
        <w:tblInd w:w="0" w:type="dxa"/>
        <w:tblLook w:val="04A0" w:firstRow="1" w:lastRow="0" w:firstColumn="1" w:lastColumn="0" w:noHBand="0" w:noVBand="1"/>
      </w:tblPr>
      <w:tblGrid>
        <w:gridCol w:w="4815"/>
        <w:gridCol w:w="1843"/>
        <w:gridCol w:w="1701"/>
      </w:tblGrid>
      <w:tr w:rsidR="00506A97" w:rsidRPr="00506A97" w:rsidTr="002D0312">
        <w:tc>
          <w:tcPr>
            <w:tcW w:w="4815" w:type="dxa"/>
            <w:tcBorders>
              <w:top w:val="single" w:sz="4" w:space="0" w:color="auto"/>
              <w:left w:val="single" w:sz="4" w:space="0" w:color="auto"/>
              <w:bottom w:val="single" w:sz="4" w:space="0" w:color="auto"/>
              <w:right w:val="single" w:sz="4" w:space="0" w:color="auto"/>
            </w:tcBorders>
          </w:tcPr>
          <w:p w:rsidR="00506A97" w:rsidRPr="00506A97" w:rsidRDefault="00506A97" w:rsidP="00506A97">
            <w:pPr>
              <w:overflowPunct w:val="0"/>
              <w:autoSpaceDE w:val="0"/>
              <w:autoSpaceDN w:val="0"/>
              <w:adjustRightInd w:val="0"/>
              <w:spacing w:line="287" w:lineRule="exact"/>
              <w:jc w:val="both"/>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center"/>
              <w:rPr>
                <w:lang w:eastAsia="en-US"/>
              </w:rPr>
            </w:pPr>
            <w:r w:rsidRPr="00506A97">
              <w:rPr>
                <w:lang w:eastAsia="en-US"/>
              </w:rPr>
              <w:t>Montant inscrit au BP 2019</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center"/>
              <w:rPr>
                <w:lang w:eastAsia="en-US"/>
              </w:rPr>
            </w:pPr>
            <w:r w:rsidRPr="00506A97">
              <w:rPr>
                <w:lang w:eastAsia="en-US"/>
              </w:rPr>
              <w:t>Ouverture anticipée 25 %</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b/>
                <w:lang w:eastAsia="en-US"/>
              </w:rPr>
            </w:pPr>
            <w:r w:rsidRPr="00506A97">
              <w:rPr>
                <w:b/>
                <w:lang w:eastAsia="en-US"/>
              </w:rPr>
              <w:t>Chapitre 20 : Immobilisations Incorporelles</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b/>
                <w:lang w:eastAsia="en-US"/>
              </w:rPr>
            </w:pPr>
            <w:r w:rsidRPr="00506A97">
              <w:rPr>
                <w:b/>
                <w:lang w:eastAsia="en-US"/>
              </w:rPr>
              <w:t>1 860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b/>
                <w:lang w:eastAsia="en-US"/>
              </w:rPr>
            </w:pPr>
            <w:r w:rsidRPr="00506A97">
              <w:rPr>
                <w:b/>
                <w:lang w:eastAsia="en-US"/>
              </w:rPr>
              <w:t xml:space="preserve"> 465</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2031 Frais d’études</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1 860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 xml:space="preserve"> 465</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b/>
                <w:lang w:eastAsia="en-US"/>
              </w:rPr>
            </w:pPr>
            <w:r w:rsidRPr="00506A97">
              <w:rPr>
                <w:b/>
                <w:lang w:eastAsia="en-US"/>
              </w:rPr>
              <w:t>Chapitre 21 : Immobilisations Corporelles</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b/>
                <w:lang w:eastAsia="en-US"/>
              </w:rPr>
            </w:pPr>
            <w:r w:rsidRPr="00506A97">
              <w:rPr>
                <w:b/>
                <w:lang w:eastAsia="en-US"/>
              </w:rPr>
              <w:t>70 472,54</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b/>
                <w:lang w:eastAsia="en-US"/>
              </w:rPr>
            </w:pPr>
            <w:r w:rsidRPr="00506A97">
              <w:rPr>
                <w:b/>
                <w:lang w:eastAsia="en-US"/>
              </w:rPr>
              <w:t>17 618,14</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21532 Réseaux assainissement</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30 472,54</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7 618,14</w:t>
            </w:r>
          </w:p>
        </w:tc>
      </w:tr>
      <w:tr w:rsidR="00506A97" w:rsidRPr="00506A97" w:rsidTr="002D0312">
        <w:tc>
          <w:tcPr>
            <w:tcW w:w="4815"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both"/>
              <w:rPr>
                <w:lang w:eastAsia="en-US"/>
              </w:rPr>
            </w:pPr>
            <w:r w:rsidRPr="00506A97">
              <w:rPr>
                <w:lang w:eastAsia="en-US"/>
              </w:rPr>
              <w:t>2154 Matériel industriel</w:t>
            </w:r>
          </w:p>
        </w:tc>
        <w:tc>
          <w:tcPr>
            <w:tcW w:w="1843"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40 000</w:t>
            </w:r>
          </w:p>
        </w:tc>
        <w:tc>
          <w:tcPr>
            <w:tcW w:w="1701" w:type="dxa"/>
            <w:tcBorders>
              <w:top w:val="single" w:sz="4" w:space="0" w:color="auto"/>
              <w:left w:val="single" w:sz="4" w:space="0" w:color="auto"/>
              <w:bottom w:val="single" w:sz="4" w:space="0" w:color="auto"/>
              <w:right w:val="single" w:sz="4" w:space="0" w:color="auto"/>
            </w:tcBorders>
            <w:hideMark/>
          </w:tcPr>
          <w:p w:rsidR="00506A97" w:rsidRPr="00506A97" w:rsidRDefault="00506A97" w:rsidP="00506A97">
            <w:pPr>
              <w:overflowPunct w:val="0"/>
              <w:autoSpaceDE w:val="0"/>
              <w:autoSpaceDN w:val="0"/>
              <w:adjustRightInd w:val="0"/>
              <w:spacing w:line="287" w:lineRule="exact"/>
              <w:jc w:val="right"/>
              <w:rPr>
                <w:lang w:eastAsia="en-US"/>
              </w:rPr>
            </w:pPr>
            <w:r w:rsidRPr="00506A97">
              <w:rPr>
                <w:lang w:eastAsia="en-US"/>
              </w:rPr>
              <w:t>10 000</w:t>
            </w:r>
          </w:p>
        </w:tc>
      </w:tr>
    </w:tbl>
    <w:p w:rsidR="00506A97" w:rsidRPr="00506A97" w:rsidRDefault="00506A97" w:rsidP="00506A97">
      <w:pPr>
        <w:overflowPunct w:val="0"/>
        <w:autoSpaceDE w:val="0"/>
        <w:autoSpaceDN w:val="0"/>
        <w:adjustRightInd w:val="0"/>
        <w:spacing w:line="287" w:lineRule="exact"/>
        <w:jc w:val="both"/>
      </w:pPr>
    </w:p>
    <w:p w:rsidR="00505ABE" w:rsidRDefault="00505ABE" w:rsidP="00735C6C">
      <w:pPr>
        <w:spacing w:line="287" w:lineRule="exact"/>
        <w:jc w:val="both"/>
        <w:rPr>
          <w:bCs/>
        </w:rPr>
      </w:pPr>
      <w:r>
        <w:rPr>
          <w:bCs/>
        </w:rPr>
        <w:t>Le Conseil Municipal approuve à l’unanimité cette décision.</w:t>
      </w:r>
    </w:p>
    <w:p w:rsidR="00860430" w:rsidRDefault="00860430" w:rsidP="00735C6C">
      <w:pPr>
        <w:spacing w:line="287" w:lineRule="exact"/>
        <w:jc w:val="both"/>
        <w:rPr>
          <w:bCs/>
        </w:rPr>
      </w:pPr>
    </w:p>
    <w:p w:rsidR="00860430" w:rsidRDefault="00860430" w:rsidP="00735C6C">
      <w:pPr>
        <w:spacing w:line="287" w:lineRule="exact"/>
        <w:jc w:val="both"/>
        <w:rPr>
          <w:bCs/>
        </w:rPr>
      </w:pPr>
      <w:r>
        <w:rPr>
          <w:bCs/>
        </w:rPr>
        <w:tab/>
      </w:r>
      <w:r>
        <w:rPr>
          <w:bCs/>
        </w:rPr>
        <w:tab/>
      </w:r>
      <w:r w:rsidRPr="00B874E3">
        <w:rPr>
          <w:b/>
          <w:bCs/>
        </w:rPr>
        <w:t>QUESTIONS DIVERSES</w:t>
      </w:r>
      <w:r>
        <w:rPr>
          <w:bCs/>
        </w:rPr>
        <w:t> :</w:t>
      </w:r>
    </w:p>
    <w:p w:rsidR="00860430" w:rsidRDefault="00860430" w:rsidP="00735C6C">
      <w:pPr>
        <w:spacing w:line="287" w:lineRule="exact"/>
        <w:jc w:val="both"/>
        <w:rPr>
          <w:bCs/>
        </w:rPr>
      </w:pPr>
    </w:p>
    <w:p w:rsidR="000C0819" w:rsidRDefault="00860430" w:rsidP="00735C6C">
      <w:pPr>
        <w:spacing w:line="287" w:lineRule="exact"/>
        <w:jc w:val="both"/>
        <w:rPr>
          <w:bCs/>
        </w:rPr>
      </w:pPr>
      <w:r>
        <w:rPr>
          <w:bCs/>
        </w:rPr>
        <w:tab/>
      </w:r>
      <w:r>
        <w:rPr>
          <w:bCs/>
        </w:rPr>
        <w:tab/>
      </w:r>
      <w:r w:rsidRPr="00B874E3">
        <w:rPr>
          <w:b/>
          <w:bCs/>
          <w:u w:val="single"/>
        </w:rPr>
        <w:t>Plan Local d’Urbanisme</w:t>
      </w:r>
      <w:r>
        <w:rPr>
          <w:bCs/>
        </w:rPr>
        <w:t> : suite à la dernière réunion</w:t>
      </w:r>
      <w:r w:rsidR="000C0819">
        <w:rPr>
          <w:bCs/>
        </w:rPr>
        <w:t xml:space="preserve">, deux points doivent être évoqués. Pour les logements sociaux locatifs de l’OAP le Conseil Municipal opte pour 20 % de la totalité de l’opération. Par ailleurs, des poches de croisement seront mises en place Route du Temple, Route des </w:t>
      </w:r>
      <w:proofErr w:type="spellStart"/>
      <w:r w:rsidR="000C0819">
        <w:rPr>
          <w:bCs/>
        </w:rPr>
        <w:t>Grads</w:t>
      </w:r>
      <w:proofErr w:type="spellEnd"/>
      <w:r w:rsidR="000C0819">
        <w:rPr>
          <w:bCs/>
        </w:rPr>
        <w:t xml:space="preserve">, Route des </w:t>
      </w:r>
      <w:proofErr w:type="spellStart"/>
      <w:r w:rsidR="000C0819">
        <w:rPr>
          <w:bCs/>
        </w:rPr>
        <w:t>Archilets</w:t>
      </w:r>
      <w:proofErr w:type="spellEnd"/>
      <w:r w:rsidR="000C0819">
        <w:rPr>
          <w:bCs/>
        </w:rPr>
        <w:t>.</w:t>
      </w:r>
    </w:p>
    <w:p w:rsidR="00860430" w:rsidRDefault="000C0819" w:rsidP="00735C6C">
      <w:pPr>
        <w:spacing w:line="287" w:lineRule="exact"/>
        <w:jc w:val="both"/>
        <w:rPr>
          <w:bCs/>
        </w:rPr>
      </w:pPr>
      <w:r>
        <w:rPr>
          <w:bCs/>
        </w:rPr>
        <w:t>Deux permanences tenues par Madame le Maire</w:t>
      </w:r>
      <w:r w:rsidR="008C1F71">
        <w:rPr>
          <w:bCs/>
        </w:rPr>
        <w:t>,</w:t>
      </w:r>
      <w:r>
        <w:rPr>
          <w:bCs/>
        </w:rPr>
        <w:t xml:space="preserve"> l’Adjointe à l’Urbanisme et le bureau d’études AMUN</w:t>
      </w:r>
      <w:r w:rsidR="00BB26A5">
        <w:rPr>
          <w:bCs/>
        </w:rPr>
        <w:t>A</w:t>
      </w:r>
      <w:r>
        <w:rPr>
          <w:bCs/>
        </w:rPr>
        <w:t xml:space="preserve">TEGUI </w:t>
      </w:r>
      <w:r w:rsidR="00697E98">
        <w:rPr>
          <w:bCs/>
        </w:rPr>
        <w:t>seront organisées le Vendredi 10 Janvier de 10 H à 12 H et le Lundi 24 Janvier de 14 H à 16 H.</w:t>
      </w:r>
      <w:r w:rsidR="00860430">
        <w:rPr>
          <w:bCs/>
        </w:rPr>
        <w:t xml:space="preserve"> </w:t>
      </w:r>
    </w:p>
    <w:p w:rsidR="00B669DE" w:rsidRDefault="00B669DE" w:rsidP="00735C6C">
      <w:pPr>
        <w:spacing w:line="287" w:lineRule="exact"/>
        <w:jc w:val="both"/>
        <w:rPr>
          <w:bCs/>
        </w:rPr>
      </w:pPr>
      <w:r>
        <w:rPr>
          <w:bCs/>
        </w:rPr>
        <w:t xml:space="preserve">Lecture est donnée de deux courriers s’opposant à la mise en place d’un parking sous </w:t>
      </w:r>
      <w:proofErr w:type="spellStart"/>
      <w:r>
        <w:rPr>
          <w:bCs/>
        </w:rPr>
        <w:t>Chazettes</w:t>
      </w:r>
      <w:proofErr w:type="spellEnd"/>
      <w:r>
        <w:rPr>
          <w:bCs/>
        </w:rPr>
        <w:t xml:space="preserve"> et d’un courrier souhaitant une parcelle constructible Sous </w:t>
      </w:r>
      <w:proofErr w:type="spellStart"/>
      <w:r>
        <w:rPr>
          <w:bCs/>
        </w:rPr>
        <w:t>Chazettes</w:t>
      </w:r>
      <w:proofErr w:type="spellEnd"/>
      <w:r>
        <w:rPr>
          <w:bCs/>
        </w:rPr>
        <w:t>. Lors de l’enquête publique ils pourront rencontrer le commissaire enquêteur et faire part de leurs observations.</w:t>
      </w:r>
    </w:p>
    <w:p w:rsidR="008C1F71" w:rsidRDefault="008C1F71" w:rsidP="00735C6C">
      <w:pPr>
        <w:spacing w:line="287" w:lineRule="exact"/>
        <w:jc w:val="both"/>
        <w:rPr>
          <w:bCs/>
        </w:rPr>
      </w:pPr>
      <w:r>
        <w:rPr>
          <w:bCs/>
        </w:rPr>
        <w:tab/>
      </w:r>
      <w:r>
        <w:rPr>
          <w:bCs/>
        </w:rPr>
        <w:tab/>
      </w:r>
      <w:r w:rsidRPr="00B874E3">
        <w:rPr>
          <w:b/>
          <w:bCs/>
          <w:u w:val="single"/>
        </w:rPr>
        <w:t>ADAPEI</w:t>
      </w:r>
      <w:r>
        <w:rPr>
          <w:bCs/>
        </w:rPr>
        <w:t> : l’opération brioches au profit de l’ADAPEI qui s’est déroulée du 07 au 13 Octobre a permis de récolter la somme de 265 Euros, les donateurs et organisateurs sont remerciés.</w:t>
      </w:r>
    </w:p>
    <w:p w:rsidR="00B669DE" w:rsidRDefault="00B669DE" w:rsidP="00735C6C">
      <w:pPr>
        <w:spacing w:line="287" w:lineRule="exact"/>
        <w:jc w:val="both"/>
        <w:rPr>
          <w:bCs/>
        </w:rPr>
      </w:pPr>
    </w:p>
    <w:p w:rsidR="00B669DE" w:rsidRDefault="00B669DE" w:rsidP="00735C6C">
      <w:pPr>
        <w:spacing w:line="287" w:lineRule="exact"/>
        <w:jc w:val="both"/>
        <w:rPr>
          <w:bCs/>
        </w:rPr>
      </w:pPr>
      <w:r>
        <w:rPr>
          <w:bCs/>
        </w:rPr>
        <w:tab/>
      </w:r>
      <w:r>
        <w:rPr>
          <w:bCs/>
        </w:rPr>
        <w:tab/>
      </w:r>
      <w:r w:rsidRPr="00B874E3">
        <w:rPr>
          <w:b/>
          <w:bCs/>
          <w:u w:val="single"/>
        </w:rPr>
        <w:t xml:space="preserve">Chantier participatif Le </w:t>
      </w:r>
      <w:proofErr w:type="spellStart"/>
      <w:r w:rsidRPr="00B874E3">
        <w:rPr>
          <w:b/>
          <w:bCs/>
          <w:u w:val="single"/>
        </w:rPr>
        <w:t>Creusansson</w:t>
      </w:r>
      <w:proofErr w:type="spellEnd"/>
      <w:r>
        <w:rPr>
          <w:bCs/>
        </w:rPr>
        <w:t xml:space="preserve"> : Samedi 07 Décembre les élus et les habitants de ce quartier mettront en place une barrière de protection dans la rue du </w:t>
      </w:r>
      <w:proofErr w:type="spellStart"/>
      <w:r>
        <w:rPr>
          <w:bCs/>
        </w:rPr>
        <w:t>Creusansson</w:t>
      </w:r>
      <w:proofErr w:type="spellEnd"/>
      <w:r>
        <w:rPr>
          <w:bCs/>
        </w:rPr>
        <w:t xml:space="preserve"> au-dessus de l’enrochement ainsi que devant l’espace vert. La collectivité prend en charge l’achat des matériaux.</w:t>
      </w:r>
    </w:p>
    <w:p w:rsidR="00A412AC" w:rsidRDefault="00A412AC" w:rsidP="00735C6C">
      <w:pPr>
        <w:spacing w:line="287" w:lineRule="exact"/>
        <w:jc w:val="both"/>
        <w:rPr>
          <w:bCs/>
        </w:rPr>
      </w:pPr>
    </w:p>
    <w:p w:rsidR="00A412AC" w:rsidRDefault="00A412AC" w:rsidP="00735C6C">
      <w:pPr>
        <w:spacing w:line="287" w:lineRule="exact"/>
        <w:jc w:val="both"/>
        <w:rPr>
          <w:bCs/>
        </w:rPr>
      </w:pPr>
      <w:r>
        <w:rPr>
          <w:bCs/>
        </w:rPr>
        <w:tab/>
      </w:r>
      <w:r>
        <w:rPr>
          <w:bCs/>
        </w:rPr>
        <w:tab/>
      </w:r>
      <w:r w:rsidRPr="00B874E3">
        <w:rPr>
          <w:b/>
          <w:bCs/>
          <w:u w:val="single"/>
        </w:rPr>
        <w:t>Dégâts suite à la neige</w:t>
      </w:r>
      <w:r>
        <w:rPr>
          <w:bCs/>
        </w:rPr>
        <w:t xml:space="preserve"> : des branchements téléphoniques sont toujours endommagés, des signalements seront faits auprès d’Orange. Les particuliers ayant des branches à couper en bordure de voirie ont été prévenus.  </w:t>
      </w:r>
    </w:p>
    <w:p w:rsidR="00A412AC" w:rsidRDefault="00A412AC" w:rsidP="00735C6C">
      <w:pPr>
        <w:spacing w:line="287" w:lineRule="exact"/>
        <w:jc w:val="both"/>
        <w:rPr>
          <w:bCs/>
        </w:rPr>
      </w:pPr>
      <w:r>
        <w:rPr>
          <w:bCs/>
        </w:rPr>
        <w:t>Info de dernière minute : exceptionnellement, en raison des dégâts occasionnés sur la végétation, le brûlage des végétaux est autorisé par arrêté préfectoral jusqu’au 15 Décembre</w:t>
      </w:r>
      <w:r w:rsidR="00E64E63">
        <w:rPr>
          <w:bCs/>
        </w:rPr>
        <w:t>.</w:t>
      </w:r>
      <w:r>
        <w:rPr>
          <w:bCs/>
        </w:rPr>
        <w:t>  Aucune autorisation n’est nécessaire auprès de la Mairie.</w:t>
      </w:r>
    </w:p>
    <w:p w:rsidR="00A412AC" w:rsidRDefault="00A412AC" w:rsidP="00735C6C">
      <w:pPr>
        <w:spacing w:line="287" w:lineRule="exact"/>
        <w:jc w:val="both"/>
        <w:rPr>
          <w:bCs/>
        </w:rPr>
      </w:pPr>
    </w:p>
    <w:p w:rsidR="00A412AC" w:rsidRDefault="00A412AC" w:rsidP="00735C6C">
      <w:pPr>
        <w:spacing w:line="287" w:lineRule="exact"/>
        <w:jc w:val="both"/>
        <w:rPr>
          <w:bCs/>
        </w:rPr>
      </w:pPr>
      <w:r>
        <w:rPr>
          <w:bCs/>
        </w:rPr>
        <w:tab/>
      </w:r>
      <w:r>
        <w:rPr>
          <w:bCs/>
        </w:rPr>
        <w:tab/>
      </w:r>
      <w:r w:rsidRPr="00B874E3">
        <w:rPr>
          <w:b/>
          <w:bCs/>
          <w:u w:val="single"/>
        </w:rPr>
        <w:t>Repas des anciens</w:t>
      </w:r>
      <w:r>
        <w:rPr>
          <w:bCs/>
        </w:rPr>
        <w:t xml:space="preserve"> : il se déroulera le Dimanche 15 Décembre, les élus sont invités à participer. A l’issue de cette journée festive sera projeté le film : </w:t>
      </w:r>
      <w:r w:rsidRPr="00E64E63">
        <w:rPr>
          <w:bCs/>
          <w:i/>
        </w:rPr>
        <w:t>Lucie Après moi le</w:t>
      </w:r>
      <w:r>
        <w:rPr>
          <w:bCs/>
        </w:rPr>
        <w:t xml:space="preserve"> </w:t>
      </w:r>
      <w:r w:rsidRPr="00E64E63">
        <w:rPr>
          <w:bCs/>
          <w:i/>
        </w:rPr>
        <w:t>déluge</w:t>
      </w:r>
      <w:r>
        <w:rPr>
          <w:bCs/>
        </w:rPr>
        <w:t xml:space="preserve"> qui retrace la vie d’une paysanne ardéchoise née en 1916 et </w:t>
      </w:r>
      <w:r w:rsidR="00E64E63">
        <w:rPr>
          <w:bCs/>
        </w:rPr>
        <w:t>vivant</w:t>
      </w:r>
      <w:r>
        <w:rPr>
          <w:bCs/>
        </w:rPr>
        <w:t xml:space="preserve"> sur le plateau du Vivarais.</w:t>
      </w:r>
      <w:r w:rsidR="00E64E63">
        <w:rPr>
          <w:bCs/>
        </w:rPr>
        <w:t xml:space="preserve"> Les habitants sont invités à cette projection.</w:t>
      </w:r>
    </w:p>
    <w:p w:rsidR="00763A3D" w:rsidRDefault="00763A3D"/>
    <w:p w:rsidR="00A412AC" w:rsidRDefault="00A412AC">
      <w:r>
        <w:tab/>
      </w:r>
      <w:r>
        <w:tab/>
      </w:r>
      <w:r w:rsidRPr="00B874E3">
        <w:rPr>
          <w:b/>
          <w:u w:val="single"/>
        </w:rPr>
        <w:t>Repas du personnel</w:t>
      </w:r>
      <w:r>
        <w:t> : Il se déroulera le Mercredi 11 Décembre à 19 Heures,</w:t>
      </w:r>
    </w:p>
    <w:p w:rsidR="00A412AC" w:rsidRDefault="00A412AC">
      <w:r>
        <w:t xml:space="preserve"> </w:t>
      </w:r>
      <w:proofErr w:type="gramStart"/>
      <w:r>
        <w:t>les</w:t>
      </w:r>
      <w:proofErr w:type="gramEnd"/>
      <w:r>
        <w:t xml:space="preserve"> élus sont invités à s’associer à ce moment convivial.</w:t>
      </w:r>
    </w:p>
    <w:p w:rsidR="00A412AC" w:rsidRDefault="00A412AC"/>
    <w:p w:rsidR="00A412AC" w:rsidRDefault="00A412AC"/>
    <w:p w:rsidR="00A412AC" w:rsidRDefault="00A412AC">
      <w:r>
        <w:tab/>
      </w:r>
      <w:r>
        <w:tab/>
      </w:r>
      <w:r>
        <w:tab/>
      </w:r>
      <w:r>
        <w:tab/>
        <w:t>Séance levée à, 22 H 20.</w:t>
      </w:r>
    </w:p>
    <w:p w:rsidR="00A412AC" w:rsidRDefault="00A412AC">
      <w:r>
        <w:tab/>
        <w:t>Fait à SAINT SYMPHORIEN SOUS CHOMERAC le 29 Novembre 2019,</w:t>
      </w:r>
    </w:p>
    <w:p w:rsidR="00A412AC" w:rsidRDefault="00A412AC">
      <w:r>
        <w:tab/>
      </w:r>
      <w:r>
        <w:tab/>
      </w:r>
      <w:r>
        <w:tab/>
      </w:r>
      <w:r>
        <w:tab/>
        <w:t xml:space="preserve">La Secrétaire de séance, </w:t>
      </w:r>
    </w:p>
    <w:p w:rsidR="00A412AC" w:rsidRDefault="00A412AC">
      <w:r>
        <w:tab/>
      </w:r>
      <w:r>
        <w:tab/>
      </w:r>
      <w:r>
        <w:tab/>
      </w:r>
      <w:r>
        <w:tab/>
        <w:t>TAVERNIER Delphine</w:t>
      </w:r>
    </w:p>
    <w:p w:rsidR="00A412AC" w:rsidRDefault="00A412AC"/>
    <w:sectPr w:rsidR="00A41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53F3C"/>
    <w:multiLevelType w:val="hybridMultilevel"/>
    <w:tmpl w:val="BF1C4D72"/>
    <w:lvl w:ilvl="0" w:tplc="6CE63B0C">
      <w:start w:val="2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3D"/>
    <w:rsid w:val="000C0819"/>
    <w:rsid w:val="002A55A1"/>
    <w:rsid w:val="003E467D"/>
    <w:rsid w:val="00505ABE"/>
    <w:rsid w:val="00506A97"/>
    <w:rsid w:val="00697E98"/>
    <w:rsid w:val="00735C6C"/>
    <w:rsid w:val="00763A3D"/>
    <w:rsid w:val="00860430"/>
    <w:rsid w:val="008C1F71"/>
    <w:rsid w:val="00A412AC"/>
    <w:rsid w:val="00B669DE"/>
    <w:rsid w:val="00B874E3"/>
    <w:rsid w:val="00BB26A5"/>
    <w:rsid w:val="00BC27AE"/>
    <w:rsid w:val="00E64E63"/>
    <w:rsid w:val="00E71BFD"/>
    <w:rsid w:val="00F53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7E2F7-3BD2-4F5E-AA12-61F58EDE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5C6C"/>
    <w:pPr>
      <w:spacing w:after="0" w:line="240" w:lineRule="auto"/>
    </w:pPr>
    <w:rPr>
      <w:rFonts w:ascii="Calibri" w:eastAsia="Calibri" w:hAnsi="Calibri" w:cs="Times New Roman"/>
    </w:rPr>
  </w:style>
  <w:style w:type="table" w:styleId="Grilledutableau">
    <w:name w:val="Table Grid"/>
    <w:basedOn w:val="TableauNormal"/>
    <w:uiPriority w:val="39"/>
    <w:rsid w:val="00506A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74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74E3"/>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2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2106</Words>
  <Characters>11587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4</cp:revision>
  <cp:lastPrinted>2019-12-02T14:05:00Z</cp:lastPrinted>
  <dcterms:created xsi:type="dcterms:W3CDTF">2019-11-29T08:05:00Z</dcterms:created>
  <dcterms:modified xsi:type="dcterms:W3CDTF">2019-12-02T14:21:00Z</dcterms:modified>
</cp:coreProperties>
</file>